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DE" w:rsidRDefault="0053511B">
      <w:r>
        <w:rPr>
          <w:noProof/>
        </w:rPr>
        <w:pict>
          <v:shapetype id="_x0000_t202" coordsize="21600,21600" o:spt="202" path="m,l,21600r21600,l21600,xe">
            <v:stroke joinstyle="miter"/>
            <v:path gradientshapeok="t" o:connecttype="rect"/>
          </v:shapetype>
          <v:shape id="_x0000_s1029" type="#_x0000_t202" style="position:absolute;margin-left:24pt;margin-top:2in;width:486pt;height:477pt;z-index:251661312" stroked="f">
            <v:textbox>
              <w:txbxContent>
                <w:p w:rsidR="00D54F7F" w:rsidRPr="00932A42" w:rsidRDefault="00D54F7F" w:rsidP="00932A42">
                  <w:pPr>
                    <w:jc w:val="center"/>
                    <w:rPr>
                      <w:rFonts w:ascii="Arial" w:hAnsi="Arial" w:cs="Arial"/>
                      <w:b/>
                      <w:sz w:val="96"/>
                      <w:szCs w:val="96"/>
                    </w:rPr>
                  </w:pPr>
                  <w:r>
                    <w:rPr>
                      <w:rFonts w:ascii="Arial" w:hAnsi="Arial" w:cs="Arial"/>
                      <w:b/>
                      <w:sz w:val="96"/>
                      <w:szCs w:val="96"/>
                    </w:rPr>
                    <w:t xml:space="preserve"> </w:t>
                  </w:r>
                  <w:r>
                    <w:rPr>
                      <w:rFonts w:ascii="Arial" w:hAnsi="Arial" w:cs="Arial"/>
                      <w:b/>
                      <w:sz w:val="72"/>
                      <w:szCs w:val="72"/>
                    </w:rPr>
                    <w:t xml:space="preserve">Retningslinjer for innkjøp </w:t>
                  </w:r>
                  <w:r w:rsidRPr="00932A42">
                    <w:rPr>
                      <w:rFonts w:ascii="Arial" w:hAnsi="Arial" w:cs="Arial"/>
                      <w:b/>
                      <w:sz w:val="72"/>
                      <w:szCs w:val="72"/>
                    </w:rPr>
                    <w:t xml:space="preserve"> Rennebu kommune </w:t>
                  </w:r>
                </w:p>
              </w:txbxContent>
            </v:textbox>
          </v:shape>
        </w:pict>
      </w:r>
      <w:r w:rsidR="008A4D86">
        <w:rPr>
          <w:noProof/>
        </w:rPr>
        <w:drawing>
          <wp:anchor distT="0" distB="0" distL="114300" distR="114300" simplePos="0" relativeHeight="251660288" behindDoc="1" locked="0" layoutInCell="1" allowOverlap="1">
            <wp:simplePos x="0" y="0"/>
            <wp:positionH relativeFrom="column">
              <wp:posOffset>-914400</wp:posOffset>
            </wp:positionH>
            <wp:positionV relativeFrom="paragraph">
              <wp:posOffset>-914400</wp:posOffset>
            </wp:positionV>
            <wp:extent cx="7592695" cy="10744200"/>
            <wp:effectExtent l="19050" t="0" r="8255" b="0"/>
            <wp:wrapNone/>
            <wp:docPr id="4" name="Bilde 4" descr="bunnbilde_oms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nnbilde_omslag"/>
                    <pic:cNvPicPr>
                      <a:picLocks noChangeAspect="1" noChangeArrowheads="1"/>
                    </pic:cNvPicPr>
                  </pic:nvPicPr>
                  <pic:blipFill>
                    <a:blip r:embed="rId8" cstate="print"/>
                    <a:srcRect/>
                    <a:stretch>
                      <a:fillRect/>
                    </a:stretch>
                  </pic:blipFill>
                  <pic:spPr bwMode="auto">
                    <a:xfrm>
                      <a:off x="0" y="0"/>
                      <a:ext cx="7592695" cy="10744200"/>
                    </a:xfrm>
                    <a:prstGeom prst="rect">
                      <a:avLst/>
                    </a:prstGeom>
                    <a:noFill/>
                    <a:ln w="9525">
                      <a:noFill/>
                      <a:miter lim="800000"/>
                      <a:headEnd/>
                      <a:tailEnd/>
                    </a:ln>
                  </pic:spPr>
                </pic:pic>
              </a:graphicData>
            </a:graphic>
          </wp:anchor>
        </w:drawing>
      </w:r>
    </w:p>
    <w:p w:rsidR="00D34907" w:rsidRDefault="00D34907" w:rsidP="005341DE">
      <w:pPr>
        <w:pStyle w:val="Overskrift1"/>
        <w:ind w:left="360"/>
        <w:rPr>
          <w:sz w:val="28"/>
        </w:rPr>
        <w:sectPr w:rsidR="00D34907" w:rsidSect="00D34907">
          <w:footerReference w:type="default" r:id="rId9"/>
          <w:footerReference w:type="first" r:id="rId10"/>
          <w:pgSz w:w="11906" w:h="16838"/>
          <w:pgMar w:top="1418" w:right="1134" w:bottom="1418" w:left="1418" w:header="709" w:footer="709" w:gutter="0"/>
          <w:cols w:space="708"/>
          <w:docGrid w:linePitch="272"/>
        </w:sectPr>
      </w:pPr>
    </w:p>
    <w:p w:rsidR="005341DE" w:rsidRDefault="005341DE" w:rsidP="005341DE"/>
    <w:p w:rsidR="00932A42" w:rsidRDefault="00932A42" w:rsidP="005341DE"/>
    <w:p w:rsidR="005341DE" w:rsidRDefault="005341DE" w:rsidP="005341DE"/>
    <w:p w:rsidR="005341DE" w:rsidRDefault="005341DE" w:rsidP="005341DE">
      <w:pPr>
        <w:numPr>
          <w:ilvl w:val="0"/>
          <w:numId w:val="3"/>
        </w:numPr>
        <w:rPr>
          <w:b/>
          <w:bCs/>
        </w:rPr>
      </w:pPr>
      <w:r>
        <w:rPr>
          <w:b/>
          <w:bCs/>
        </w:rPr>
        <w:t>INNLEDNING</w:t>
      </w:r>
    </w:p>
    <w:p w:rsidR="005341DE" w:rsidRDefault="005341DE" w:rsidP="005341DE">
      <w:pPr>
        <w:ind w:left="708"/>
      </w:pPr>
    </w:p>
    <w:p w:rsidR="005341DE" w:rsidRDefault="006C3AF5" w:rsidP="005341DE">
      <w:pPr>
        <w:ind w:left="708"/>
      </w:pPr>
      <w:r>
        <w:t xml:space="preserve">Offentlig sektor i Norge </w:t>
      </w:r>
      <w:r w:rsidR="005341DE">
        <w:t>foretar årlig innkjøp for oppu</w:t>
      </w:r>
      <w:r w:rsidR="00D044DA">
        <w:t xml:space="preserve">nder 400 milliarder kr, hvorav </w:t>
      </w:r>
      <w:r w:rsidR="005341DE">
        <w:t xml:space="preserve">kommunene står for rundt 120 milliarder kr i året. Rennebu kommune alene kjøpte </w:t>
      </w:r>
      <w:r w:rsidR="00D044DA">
        <w:t xml:space="preserve">inn for ca. 65 mill kr i 2010 </w:t>
      </w:r>
      <w:r w:rsidR="005341DE">
        <w:t>(Driftsregnskap + investeringsregnskap)</w:t>
      </w:r>
    </w:p>
    <w:p w:rsidR="005341DE" w:rsidRDefault="005341DE" w:rsidP="005341DE">
      <w:pPr>
        <w:ind w:left="708"/>
      </w:pPr>
      <w:r>
        <w:t>Lov og forskrift om offentlige anskaffelser skal sikre at disse midlene utnyttes best mulig gjennom kostnadseffektive innkjøp, samtidig som offentlig sektor gjennom sine anskaffelser bidrar til utvikling av et konkurransedyktig næringsliv.</w:t>
      </w:r>
    </w:p>
    <w:p w:rsidR="005341DE" w:rsidRDefault="005341DE" w:rsidP="005341DE">
      <w:pPr>
        <w:ind w:left="708"/>
      </w:pPr>
    </w:p>
    <w:p w:rsidR="005341DE" w:rsidRDefault="005341DE" w:rsidP="005341DE">
      <w:pPr>
        <w:ind w:left="708"/>
      </w:pPr>
      <w:r>
        <w:t xml:space="preserve">Visse grunnleggende prinsipper gjelder for alle anskaffelser, uavhengig av anskaffelsens art og verdi. Det grunnleggende kravet er </w:t>
      </w:r>
      <w:r w:rsidR="006C3AF5">
        <w:t>a</w:t>
      </w:r>
      <w:r>
        <w:t>t en anskaffelse så langt det er mulig</w:t>
      </w:r>
      <w:r w:rsidR="00832A28">
        <w:t>,</w:t>
      </w:r>
      <w:r w:rsidR="006C3AF5">
        <w:t xml:space="preserve"> </w:t>
      </w:r>
      <w:r w:rsidR="00832A28">
        <w:t xml:space="preserve">skal </w:t>
      </w:r>
      <w:r>
        <w:t xml:space="preserve">være </w:t>
      </w:r>
      <w:r>
        <w:rPr>
          <w:b/>
          <w:bCs/>
        </w:rPr>
        <w:t>basert på konkurranse</w:t>
      </w:r>
      <w:r>
        <w:t>. Videre gjelder kravene til god forretningsskikk, forholdsmessighet, likebehandling av leverandører, forutsigbarhet, gjennomsiktighet og etterprøvbarhet. Noen av disse krav er delvis overlappende.</w:t>
      </w:r>
    </w:p>
    <w:p w:rsidR="005341DE" w:rsidRDefault="005341DE" w:rsidP="005341DE">
      <w:pPr>
        <w:ind w:left="708"/>
      </w:pPr>
      <w:r>
        <w:t>Kravene til en anskaffelse er nedfelt i lovens § 5 og forskriftens § 3.1.</w:t>
      </w:r>
    </w:p>
    <w:p w:rsidR="005341DE" w:rsidRDefault="005341DE" w:rsidP="005341DE">
      <w:pPr>
        <w:ind w:left="708"/>
      </w:pPr>
    </w:p>
    <w:p w:rsidR="005341DE" w:rsidRDefault="005341DE" w:rsidP="005341DE">
      <w:pPr>
        <w:ind w:left="708"/>
      </w:pPr>
      <w:r>
        <w:t>Dersom en anskaffelse gjøres uten å følge de grunnleggende prinsippene, og det gjøres en ulovlig direkteanskaffelse, kan saken klages inn for KOFA (Klageorganet for offentlige innkjøp). Enhver kan melde mistanke om ulovlig direkteanskaffelse inn for KOFA, foreldelsesfristen er 2 år. Dersom en finner at det er gjort en ulovlig direkteanskaffelse, kan KOFA ilegge et overtredelsesgebyr på 15 % av anskaffelsens verdi.</w:t>
      </w:r>
    </w:p>
    <w:p w:rsidR="005341DE" w:rsidRDefault="005341DE" w:rsidP="005341DE">
      <w:pPr>
        <w:ind w:left="708"/>
      </w:pPr>
    </w:p>
    <w:p w:rsidR="005341DE" w:rsidRDefault="005341DE" w:rsidP="005341DE">
      <w:pPr>
        <w:ind w:left="708"/>
      </w:pPr>
    </w:p>
    <w:p w:rsidR="005341DE" w:rsidRDefault="005341DE" w:rsidP="005341DE">
      <w:pPr>
        <w:numPr>
          <w:ilvl w:val="0"/>
          <w:numId w:val="3"/>
        </w:numPr>
        <w:rPr>
          <w:b/>
          <w:bCs/>
        </w:rPr>
        <w:sectPr w:rsidR="005341DE" w:rsidSect="00D34907">
          <w:headerReference w:type="default" r:id="rId11"/>
          <w:footerReference w:type="default" r:id="rId12"/>
          <w:pgSz w:w="11906" w:h="16838"/>
          <w:pgMar w:top="1418" w:right="1134" w:bottom="1418" w:left="1418" w:header="709" w:footer="709" w:gutter="0"/>
          <w:cols w:space="708"/>
          <w:docGrid w:linePitch="272"/>
        </w:sectPr>
      </w:pPr>
    </w:p>
    <w:p w:rsidR="005341DE" w:rsidRDefault="005341DE" w:rsidP="00370A97">
      <w:pPr>
        <w:numPr>
          <w:ilvl w:val="0"/>
          <w:numId w:val="3"/>
        </w:numPr>
        <w:rPr>
          <w:b/>
          <w:bCs/>
        </w:rPr>
      </w:pPr>
      <w:r w:rsidRPr="00370A97">
        <w:rPr>
          <w:b/>
          <w:bCs/>
        </w:rPr>
        <w:lastRenderedPageBreak/>
        <w:t>INNKJØP I RENNEBU KOMMUNE</w:t>
      </w:r>
    </w:p>
    <w:p w:rsidR="00370A97" w:rsidRDefault="00370A97" w:rsidP="00370A97">
      <w:pPr>
        <w:rPr>
          <w:b/>
          <w:bCs/>
        </w:rPr>
      </w:pPr>
    </w:p>
    <w:p w:rsidR="00370A97" w:rsidRDefault="00370A97" w:rsidP="00370A97">
      <w:pPr>
        <w:rPr>
          <w:b/>
          <w:bCs/>
        </w:rPr>
      </w:pPr>
    </w:p>
    <w:p w:rsidR="005341DE" w:rsidRDefault="005341DE" w:rsidP="005341DE">
      <w:pPr>
        <w:rPr>
          <w:b/>
          <w:bCs/>
        </w:rPr>
      </w:pPr>
    </w:p>
    <w:p w:rsidR="005341DE" w:rsidRDefault="005341DE" w:rsidP="005341DE">
      <w:pPr>
        <w:ind w:left="360"/>
        <w:rPr>
          <w:b/>
          <w:bCs/>
        </w:rPr>
      </w:pPr>
      <w:r>
        <w:rPr>
          <w:b/>
          <w:bCs/>
        </w:rPr>
        <w:t>2.1 Generelt</w:t>
      </w:r>
    </w:p>
    <w:p w:rsidR="005341DE" w:rsidRDefault="005341DE" w:rsidP="005341DE">
      <w:pPr>
        <w:ind w:left="360"/>
        <w:rPr>
          <w:b/>
          <w:bCs/>
        </w:rPr>
      </w:pPr>
    </w:p>
    <w:p w:rsidR="005341DE" w:rsidRDefault="005341DE" w:rsidP="005341DE"/>
    <w:p w:rsidR="00A21ED1" w:rsidRDefault="005341DE" w:rsidP="005341DE">
      <w:pPr>
        <w:pStyle w:val="Brdtekstinnrykk"/>
        <w:ind w:left="720"/>
      </w:pPr>
      <w:r>
        <w:t>Innkjøpsansvarlig skal påse at alle innkjøp i Rennebu kommune gjøres i hht. Lov og forskrift om offentlige anskaffelser, med de siste til enhver tid gjeldende bestemmels</w:t>
      </w:r>
      <w:r w:rsidR="00A21ED1">
        <w:t>er, sist endret 25.januar 2010.</w:t>
      </w:r>
      <w:r>
        <w:t xml:space="preserve"> </w:t>
      </w:r>
    </w:p>
    <w:p w:rsidR="005341DE" w:rsidRDefault="005341DE" w:rsidP="005341DE">
      <w:pPr>
        <w:pStyle w:val="Brdtekstinnrykk"/>
        <w:ind w:left="720"/>
      </w:pPr>
      <w:r>
        <w:t>Ref. http://www.lovdata.no</w:t>
      </w:r>
    </w:p>
    <w:p w:rsidR="005341DE" w:rsidRDefault="005341DE" w:rsidP="005341DE">
      <w:pPr>
        <w:pStyle w:val="Brdtekstinnrykk"/>
        <w:ind w:left="720"/>
      </w:pPr>
      <w:r>
        <w:t>I Rennebu kommune har en følgende muligheter for å gjennomføre et innkjøp:</w:t>
      </w:r>
    </w:p>
    <w:p w:rsidR="005341DE" w:rsidRDefault="005341DE" w:rsidP="005341DE">
      <w:pPr>
        <w:pStyle w:val="Brdtekstinnrykk"/>
        <w:ind w:left="720"/>
      </w:pPr>
    </w:p>
    <w:p w:rsidR="005341DE" w:rsidRDefault="005341DE" w:rsidP="005341DE">
      <w:pPr>
        <w:pStyle w:val="Brdtekstinnrykk"/>
        <w:numPr>
          <w:ilvl w:val="0"/>
          <w:numId w:val="4"/>
        </w:numPr>
        <w:spacing w:after="0"/>
      </w:pPr>
      <w:r>
        <w:t>Innkjøp gjennom Fylkesavtalen</w:t>
      </w:r>
    </w:p>
    <w:p w:rsidR="005341DE" w:rsidRDefault="005341DE" w:rsidP="005341DE">
      <w:pPr>
        <w:pStyle w:val="Brdtekstinnrykk"/>
        <w:ind w:left="1080"/>
      </w:pPr>
      <w:r>
        <w:t xml:space="preserve">Ref. </w:t>
      </w:r>
      <w:hyperlink r:id="rId13" w:history="1">
        <w:r>
          <w:rPr>
            <w:rStyle w:val="Hyperkobling"/>
          </w:rPr>
          <w:t>http://www.stfk.no</w:t>
        </w:r>
      </w:hyperlink>
      <w:r>
        <w:t xml:space="preserve"> under ”innkjøp i fylkeskommunen</w:t>
      </w:r>
      <w:r w:rsidR="00D044DA">
        <w:t>”</w:t>
      </w:r>
      <w:r>
        <w:t>.</w:t>
      </w:r>
    </w:p>
    <w:p w:rsidR="005341DE" w:rsidRDefault="005341DE" w:rsidP="005341DE">
      <w:pPr>
        <w:pStyle w:val="Brdtekstinnrykk"/>
        <w:ind w:left="1080"/>
      </w:pPr>
      <w:r>
        <w:t>Brukernavn og pa</w:t>
      </w:r>
      <w:r w:rsidR="00D044DA">
        <w:t>ssord få</w:t>
      </w:r>
      <w:r>
        <w:t xml:space="preserve">s hos </w:t>
      </w:r>
      <w:r w:rsidR="00D044DA">
        <w:t>økonomirådgiver</w:t>
      </w:r>
      <w:r>
        <w:t xml:space="preserve"> </w:t>
      </w:r>
    </w:p>
    <w:p w:rsidR="005341DE" w:rsidRDefault="005341DE" w:rsidP="005341DE">
      <w:pPr>
        <w:pStyle w:val="Brdtekstinnrykk"/>
        <w:numPr>
          <w:ilvl w:val="0"/>
          <w:numId w:val="4"/>
        </w:numPr>
        <w:spacing w:after="0"/>
      </w:pPr>
      <w:r>
        <w:t>Innkjøp gjennom egne rammeavtaler</w:t>
      </w:r>
    </w:p>
    <w:p w:rsidR="005341DE" w:rsidRDefault="005341DE" w:rsidP="005341DE">
      <w:pPr>
        <w:pStyle w:val="Brdtekstinnrykk"/>
        <w:numPr>
          <w:ilvl w:val="0"/>
          <w:numId w:val="4"/>
        </w:numPr>
        <w:spacing w:after="0"/>
      </w:pPr>
      <w:r>
        <w:t xml:space="preserve">Innkjøp utenfor rammeavtaler (kjøp av varer og tjenester som ikke er dekket av Fylkesavtalen eller egne rammeavtaler) </w:t>
      </w:r>
    </w:p>
    <w:p w:rsidR="005341DE" w:rsidRDefault="005341DE" w:rsidP="005341DE">
      <w:pPr>
        <w:pStyle w:val="Brdtekstinnrykk"/>
      </w:pPr>
    </w:p>
    <w:p w:rsidR="005341DE" w:rsidRDefault="005341DE" w:rsidP="005341DE">
      <w:pPr>
        <w:pStyle w:val="Brdtekstinnrykk"/>
        <w:ind w:left="720"/>
      </w:pPr>
      <w:r>
        <w:t>Dersom en vare eller en tjeneste som skal kjøpes inn er dekket av Fylkesavtalen eller egen inngått rammeavtale, kjøpes det på denne avtalen i hht. inngått kontrakt.</w:t>
      </w:r>
    </w:p>
    <w:p w:rsidR="00932A42" w:rsidRDefault="00932A42" w:rsidP="005341DE">
      <w:pPr>
        <w:pStyle w:val="Brdtekstinnrykk"/>
        <w:ind w:left="720"/>
      </w:pPr>
    </w:p>
    <w:p w:rsidR="005341DE" w:rsidRDefault="005341DE" w:rsidP="005341DE">
      <w:pPr>
        <w:pStyle w:val="Brdtekstinnrykk"/>
        <w:ind w:left="720"/>
      </w:pPr>
      <w:r>
        <w:t>Dersom en vare eller en tjeneste ikke er dekket av Fylkesavtalen eller egne inngåtte rammeavtaler, må kommunen selv gjøre et uavhengig innkjøp i hht Lov og forskrift om offentlige anskaffelser, der konkurranse er grunnregelen.</w:t>
      </w:r>
    </w:p>
    <w:p w:rsidR="005341DE" w:rsidRDefault="005341DE" w:rsidP="005341DE">
      <w:pPr>
        <w:pStyle w:val="Brdtekstinnrykk"/>
        <w:ind w:left="720"/>
      </w:pPr>
      <w:r>
        <w:t xml:space="preserve">Konkurranse kan gjennomføres etter forskjellige prosedyrer, der en åpen anbudskonkurranse er den vanligste. Ref. Forskriftens § 4-2. </w:t>
      </w:r>
    </w:p>
    <w:p w:rsidR="005341DE" w:rsidRDefault="005341DE" w:rsidP="005341DE">
      <w:pPr>
        <w:pStyle w:val="Brdtekstinnrykk"/>
        <w:ind w:left="720"/>
      </w:pPr>
    </w:p>
    <w:p w:rsidR="005341DE" w:rsidRDefault="005341DE" w:rsidP="005341DE">
      <w:pPr>
        <w:pStyle w:val="Brdtekstinnrykk"/>
        <w:ind w:left="720"/>
      </w:pPr>
      <w:r>
        <w:t>Det må beregnes en verdi for den totale anskaffelsen, og avhengig av denne verdiens størrelse, gjelder forskjellige best</w:t>
      </w:r>
      <w:r w:rsidR="006C3AF5">
        <w:t>emmelser i Forskrift om</w:t>
      </w:r>
      <w:r>
        <w:t xml:space="preserve"> offentlige anskaffelser.</w:t>
      </w:r>
    </w:p>
    <w:p w:rsidR="005341DE" w:rsidRDefault="005341DE" w:rsidP="005341DE">
      <w:pPr>
        <w:pStyle w:val="Brdtekstinnrykk"/>
        <w:ind w:left="720"/>
      </w:pPr>
      <w:r>
        <w:t>Ved beregning av en anskaffelses totale verdi må en ta hensyn til hvordan innkjøpsfunksjonen er organisert i Rennebu kommune:</w:t>
      </w:r>
    </w:p>
    <w:p w:rsidR="005341DE" w:rsidRDefault="005341DE" w:rsidP="005341DE">
      <w:pPr>
        <w:pStyle w:val="Brdtekstinnrykk"/>
        <w:ind w:left="720"/>
      </w:pPr>
      <w:r>
        <w:t xml:space="preserve">Rennebu kommune er organisert slik at det administrative innkjøpsansvaret følger budsjettmyndigheten i kommunen. Dette gir myndighetslinjer fra rådmann ned til kommunalsjef og videre ned til enhetsledere. Med en slik organisering, må innkjøp for hver enkelt enhet sees isolert, ikke kommunen under ett. Ved beregning av en anskaffelsesverdi, kan en følgelig se hver enhet isolert uten å ta med andre deler av kommunen i beregningen. </w:t>
      </w:r>
    </w:p>
    <w:p w:rsidR="00494436" w:rsidRDefault="005341DE" w:rsidP="005341DE">
      <w:pPr>
        <w:pStyle w:val="Brdtekstinnrykk"/>
        <w:ind w:left="720"/>
        <w:sectPr w:rsidR="00494436" w:rsidSect="00494436">
          <w:headerReference w:type="default" r:id="rId14"/>
          <w:footerReference w:type="default" r:id="rId15"/>
          <w:headerReference w:type="first" r:id="rId16"/>
          <w:footerReference w:type="first" r:id="rId17"/>
          <w:pgSz w:w="11906" w:h="16838"/>
          <w:pgMar w:top="1418" w:right="1134" w:bottom="1418" w:left="1418" w:header="709" w:footer="709" w:gutter="0"/>
          <w:cols w:space="708"/>
          <w:titlePg/>
        </w:sectPr>
      </w:pPr>
      <w:r>
        <w:t>En bør likevel tilstrebe samarbeid enheter imellom der det er mulig for å få et større volum på innkjøpet og dermed mulighet for å oppnå bedre priser.</w:t>
      </w:r>
    </w:p>
    <w:p w:rsidR="005341DE" w:rsidRDefault="005341DE" w:rsidP="005341DE">
      <w:pPr>
        <w:pStyle w:val="Brdtekstinnrykk"/>
        <w:ind w:left="720"/>
      </w:pPr>
    </w:p>
    <w:p w:rsidR="005341DE" w:rsidRDefault="005341DE" w:rsidP="005341DE">
      <w:pPr>
        <w:pStyle w:val="Brdtekstinnrykk"/>
        <w:numPr>
          <w:ilvl w:val="1"/>
          <w:numId w:val="5"/>
        </w:numPr>
        <w:spacing w:after="0"/>
        <w:rPr>
          <w:b/>
          <w:bCs/>
        </w:rPr>
      </w:pPr>
      <w:r>
        <w:rPr>
          <w:b/>
          <w:bCs/>
        </w:rPr>
        <w:t>Innkjøp under 100.000 kr</w:t>
      </w:r>
    </w:p>
    <w:p w:rsidR="005341DE" w:rsidRDefault="005341DE" w:rsidP="005341DE">
      <w:pPr>
        <w:pStyle w:val="Brdtekstinnrykk"/>
        <w:rPr>
          <w:b/>
          <w:bCs/>
        </w:rPr>
      </w:pPr>
    </w:p>
    <w:p w:rsidR="005341DE" w:rsidRDefault="005341DE" w:rsidP="005341DE">
      <w:pPr>
        <w:pStyle w:val="Brdtekstinnrykk"/>
        <w:ind w:left="720"/>
      </w:pPr>
      <w:r>
        <w:t>Forskriftens del I gjelder.</w:t>
      </w:r>
    </w:p>
    <w:p w:rsidR="005341DE" w:rsidRDefault="005341DE" w:rsidP="005341DE">
      <w:pPr>
        <w:pStyle w:val="Brdtekstinnrykk"/>
        <w:ind w:left="720"/>
      </w:pPr>
      <w:r>
        <w:t>Dvs. at grunnprinsippet om konkurranse er gjeldende, men her står en likevel noenlunde fritt til å handle hvor en vil, dersom ikke varen / tjenesten er dekket av Fylkesavtalen ell</w:t>
      </w:r>
      <w:r w:rsidR="006C3AF5">
        <w:t>er andre inngåtte rammeavtaler. D</w:t>
      </w:r>
      <w:r>
        <w:t>a må i så fall disse benyttes.</w:t>
      </w:r>
    </w:p>
    <w:p w:rsidR="005341DE" w:rsidRDefault="005341DE" w:rsidP="005341DE">
      <w:pPr>
        <w:pStyle w:val="Brdtekstinnrykk"/>
        <w:ind w:left="720"/>
      </w:pPr>
      <w:r>
        <w:t xml:space="preserve">Dersom en kjøper inn helt fritt, bør </w:t>
      </w:r>
      <w:r w:rsidR="006C3AF5">
        <w:t xml:space="preserve">det </w:t>
      </w:r>
      <w:r>
        <w:t xml:space="preserve">likevel innhentes pris fra min. 2 leverandører, og selv om det ikke er protokollplikt under 100.000 kr, lønner det seg likevel å føre en enkel logg for hvordan innkjøpet er gjennomført. </w:t>
      </w:r>
    </w:p>
    <w:p w:rsidR="005341DE" w:rsidRDefault="005341DE" w:rsidP="005341DE">
      <w:pPr>
        <w:pStyle w:val="Brdtekstinnrykk"/>
        <w:ind w:left="720"/>
      </w:pPr>
    </w:p>
    <w:p w:rsidR="005341DE" w:rsidRDefault="005341DE" w:rsidP="005341DE">
      <w:pPr>
        <w:pStyle w:val="Brdtekstinnrykk"/>
        <w:ind w:left="720"/>
      </w:pPr>
    </w:p>
    <w:p w:rsidR="005341DE" w:rsidRDefault="005341DE" w:rsidP="005341DE">
      <w:pPr>
        <w:pStyle w:val="Brdtekstinnrykk"/>
        <w:numPr>
          <w:ilvl w:val="1"/>
          <w:numId w:val="5"/>
        </w:numPr>
        <w:spacing w:after="0"/>
        <w:rPr>
          <w:b/>
          <w:bCs/>
        </w:rPr>
      </w:pPr>
      <w:r>
        <w:rPr>
          <w:b/>
          <w:bCs/>
        </w:rPr>
        <w:t>Innkjøp 100.000 – 500.000 kr</w:t>
      </w:r>
    </w:p>
    <w:p w:rsidR="005341DE" w:rsidRDefault="005341DE" w:rsidP="005341DE">
      <w:pPr>
        <w:pStyle w:val="Brdtekstinnrykk"/>
        <w:ind w:left="180"/>
      </w:pPr>
    </w:p>
    <w:p w:rsidR="005341DE" w:rsidRDefault="005341DE" w:rsidP="005341DE">
      <w:pPr>
        <w:pStyle w:val="Brdtekstinnrykk"/>
        <w:ind w:left="705"/>
      </w:pPr>
      <w:r>
        <w:t>Forskriftens del I gjelder.</w:t>
      </w:r>
    </w:p>
    <w:p w:rsidR="005341DE" w:rsidRDefault="005341DE" w:rsidP="005341DE">
      <w:pPr>
        <w:pStyle w:val="Brdtekstinnrykk"/>
        <w:ind w:left="705"/>
      </w:pPr>
      <w:r>
        <w:t>Det skal innhentes tilbud fra minimum 3 forskjellige leverandører. Dette kan gjøres ved å kunngjøre konkurranse, eller plukke 3 leverandører selv og be om pris.</w:t>
      </w:r>
    </w:p>
    <w:p w:rsidR="005341DE" w:rsidRDefault="005341DE" w:rsidP="005341DE">
      <w:pPr>
        <w:pStyle w:val="Brdtekstinnrykk"/>
        <w:ind w:left="705"/>
      </w:pPr>
      <w:r>
        <w:t>Kunngjøring kan gjøres både i DOFFIN (Databasen for offentlige innkjøp) eller andre medier. Kunngjøring i DOFFIN er frivillig for innkjøp under kr 500.000.</w:t>
      </w:r>
    </w:p>
    <w:p w:rsidR="005341DE" w:rsidRDefault="005341DE" w:rsidP="005341DE">
      <w:pPr>
        <w:pStyle w:val="Brdtekstinnrykk"/>
        <w:ind w:left="705"/>
      </w:pPr>
    </w:p>
    <w:p w:rsidR="005341DE" w:rsidRDefault="005341DE" w:rsidP="005341DE">
      <w:pPr>
        <w:pStyle w:val="Brdtekstinnrykk"/>
        <w:ind w:left="705"/>
      </w:pPr>
      <w:r>
        <w:t>For innkjøp 100.000 – 500.000 kr skal det føres protokoll for innkjøpet på protokollskjema (</w:t>
      </w:r>
      <w:r w:rsidR="00A21ED1">
        <w:t xml:space="preserve">jmf. vedlegg </w:t>
      </w:r>
      <w:r>
        <w:t>), og det skal innhentes HMS-erklæring og skatteattest.</w:t>
      </w:r>
    </w:p>
    <w:p w:rsidR="005341DE" w:rsidRDefault="005341DE" w:rsidP="005341DE">
      <w:pPr>
        <w:pStyle w:val="Brdtekstinnrykk"/>
        <w:ind w:left="705"/>
      </w:pPr>
    </w:p>
    <w:p w:rsidR="005341DE" w:rsidRDefault="005341DE" w:rsidP="005341DE">
      <w:pPr>
        <w:pStyle w:val="Brdtekstinnrykk"/>
        <w:ind w:left="705"/>
      </w:pPr>
      <w:r>
        <w:t>All korrespondanse for innkjøpet skal arkiveres på sak på vanlig måte.</w:t>
      </w:r>
    </w:p>
    <w:p w:rsidR="005341DE" w:rsidRDefault="005341DE" w:rsidP="005341DE">
      <w:pPr>
        <w:pStyle w:val="Brdtekstinnrykk"/>
        <w:ind w:left="705"/>
      </w:pPr>
    </w:p>
    <w:p w:rsidR="005341DE" w:rsidRDefault="005341DE" w:rsidP="005341DE">
      <w:pPr>
        <w:pStyle w:val="Brdtekstinnrykk"/>
        <w:numPr>
          <w:ilvl w:val="1"/>
          <w:numId w:val="5"/>
        </w:numPr>
        <w:spacing w:after="0"/>
        <w:rPr>
          <w:b/>
          <w:bCs/>
        </w:rPr>
      </w:pPr>
      <w:r>
        <w:rPr>
          <w:b/>
          <w:bCs/>
        </w:rPr>
        <w:t>Innkjøp over 500.000 kr (men under EØS terskelverdier)</w:t>
      </w:r>
    </w:p>
    <w:p w:rsidR="005341DE" w:rsidRDefault="005341DE" w:rsidP="005341DE">
      <w:pPr>
        <w:pStyle w:val="Brdtekstinnrykk"/>
      </w:pPr>
    </w:p>
    <w:p w:rsidR="005341DE" w:rsidRDefault="005341DE" w:rsidP="005341DE">
      <w:pPr>
        <w:pStyle w:val="Brdtekstinnrykk"/>
        <w:ind w:left="720"/>
      </w:pPr>
      <w:r>
        <w:t>For innkjøp over 500.000 kr, men under 1,6 mill. kr for vare – og tjenestekjøp og under 40,5 mill. kr for bygge – og anleggskontrakter (alle verdier eks.mva) gjelder Forskriftens del I og II.</w:t>
      </w:r>
    </w:p>
    <w:p w:rsidR="005341DE" w:rsidRDefault="005341DE" w:rsidP="005341DE">
      <w:pPr>
        <w:pStyle w:val="Brdtekstinnrykk"/>
        <w:ind w:left="720"/>
      </w:pPr>
    </w:p>
    <w:p w:rsidR="005341DE" w:rsidRDefault="005341DE" w:rsidP="005341DE">
      <w:pPr>
        <w:pStyle w:val="Brdtekstinnrykk"/>
        <w:ind w:left="720"/>
      </w:pPr>
      <w:r>
        <w:t>Anskaffelsen skal foretas ved anbudskonkurranse eller konkurranse med forhandlinger.</w:t>
      </w:r>
      <w:r w:rsidR="00A21ED1">
        <w:t xml:space="preserve"> </w:t>
      </w:r>
      <w:r>
        <w:t>Ref. Forskriftens § 4-2 og §5-1.</w:t>
      </w:r>
    </w:p>
    <w:p w:rsidR="005341DE" w:rsidRDefault="005341DE" w:rsidP="005341DE">
      <w:pPr>
        <w:pStyle w:val="Brdtekstinnrykk"/>
        <w:ind w:left="720"/>
      </w:pPr>
      <w:r>
        <w:t xml:space="preserve"> I de aller fleste tilfeller vil konkurransen kunne gjennomføres som en åpen anbudskonkurranse for kontrakter i denne størrelsesorden.</w:t>
      </w:r>
    </w:p>
    <w:p w:rsidR="005341DE" w:rsidRDefault="002B67AE" w:rsidP="005341DE">
      <w:pPr>
        <w:pStyle w:val="Brdtekstinnrykk"/>
        <w:ind w:left="720"/>
      </w:pPr>
      <w:r>
        <w:br/>
      </w:r>
      <w:r w:rsidR="005341DE">
        <w:t>For alle innkjøp over 500.000 kr og under EØS- terskelverdiene skal konkurransen kunngjøres på DOFFIN (Databasen for offentlige innkjøp)</w:t>
      </w:r>
    </w:p>
    <w:p w:rsidR="005341DE" w:rsidRDefault="005341DE" w:rsidP="005341DE">
      <w:pPr>
        <w:pStyle w:val="Brdtekstinnrykk"/>
        <w:ind w:left="720"/>
      </w:pPr>
    </w:p>
    <w:p w:rsidR="005341DE" w:rsidRDefault="005341DE" w:rsidP="005341DE">
      <w:pPr>
        <w:pStyle w:val="Brdtekstinnrykk"/>
        <w:ind w:left="720"/>
      </w:pPr>
      <w:r>
        <w:t>Det skal føres egen protokoll for innkjøpe</w:t>
      </w:r>
      <w:r w:rsidR="00A21ED1">
        <w:t>t på eget skjema, jmf. vedlegg.</w:t>
      </w:r>
    </w:p>
    <w:p w:rsidR="005341DE" w:rsidRDefault="005341DE" w:rsidP="005341DE">
      <w:pPr>
        <w:pStyle w:val="Brdtekstinnrykk"/>
        <w:ind w:left="720"/>
      </w:pPr>
    </w:p>
    <w:p w:rsidR="005341DE" w:rsidRDefault="005341DE" w:rsidP="005341DE">
      <w:pPr>
        <w:pStyle w:val="Brdtekstinnrykk"/>
        <w:ind w:left="720"/>
      </w:pPr>
      <w:r>
        <w:t>Malen for anbudsdokumentet dekker alle de krav som stilles til en slik konkurranse, krav til HMS-erklæring og skatteattest gjelder også her.</w:t>
      </w:r>
    </w:p>
    <w:p w:rsidR="005341DE" w:rsidRDefault="005341DE" w:rsidP="005341DE">
      <w:pPr>
        <w:pStyle w:val="Brdtekstinnrykk"/>
        <w:ind w:left="720"/>
      </w:pPr>
    </w:p>
    <w:p w:rsidR="005341DE" w:rsidRDefault="005341DE" w:rsidP="005341DE">
      <w:pPr>
        <w:pStyle w:val="Brdtekstinnrykk"/>
        <w:ind w:left="720"/>
      </w:pPr>
      <w:r>
        <w:lastRenderedPageBreak/>
        <w:t>All korrespondanse skal arkiveres på sak på vanlig måte.</w:t>
      </w:r>
    </w:p>
    <w:p w:rsidR="005341DE" w:rsidRDefault="005341DE" w:rsidP="005341DE">
      <w:pPr>
        <w:pStyle w:val="Brdtekstinnrykk"/>
        <w:ind w:left="720"/>
      </w:pPr>
      <w:r>
        <w:t>Ansvarlig for anbudet må instruere Service</w:t>
      </w:r>
      <w:r w:rsidR="00777AFB">
        <w:t>torget</w:t>
      </w:r>
      <w:r>
        <w:t xml:space="preserve"> om hvordan innkommende anbud skal håndteres og merkes.</w:t>
      </w:r>
    </w:p>
    <w:p w:rsidR="005341DE" w:rsidRDefault="005341DE" w:rsidP="005341DE">
      <w:pPr>
        <w:pStyle w:val="Brdtekstinnrykk"/>
        <w:ind w:left="720"/>
      </w:pPr>
    </w:p>
    <w:p w:rsidR="005341DE" w:rsidRDefault="005341DE" w:rsidP="005341DE">
      <w:pPr>
        <w:pStyle w:val="Brdtekstinnrykk"/>
        <w:numPr>
          <w:ilvl w:val="1"/>
          <w:numId w:val="5"/>
        </w:numPr>
        <w:spacing w:after="0"/>
        <w:rPr>
          <w:b/>
          <w:bCs/>
        </w:rPr>
      </w:pPr>
      <w:r>
        <w:rPr>
          <w:b/>
          <w:bCs/>
        </w:rPr>
        <w:t>Innkjøp over EØS-terskelverdiene</w:t>
      </w:r>
    </w:p>
    <w:p w:rsidR="005341DE" w:rsidRDefault="005341DE" w:rsidP="005341DE">
      <w:pPr>
        <w:pStyle w:val="Brdtekstinnrykk"/>
      </w:pPr>
    </w:p>
    <w:p w:rsidR="005341DE" w:rsidRDefault="005341DE" w:rsidP="005341DE">
      <w:pPr>
        <w:pStyle w:val="Brdtekstinnrykk"/>
        <w:ind w:left="720"/>
      </w:pPr>
      <w:r>
        <w:t>For innkjøp over 1,6 mill. kr for vare – og tjenestekjøp og under 40,5 mill. kr for bygge – og anleggskontrakter (alle verdier eks.mva) gjelder Forskriftens del III.</w:t>
      </w:r>
    </w:p>
    <w:p w:rsidR="005341DE" w:rsidRDefault="005341DE" w:rsidP="005341DE">
      <w:pPr>
        <w:pStyle w:val="Brdtekstinnrykk"/>
        <w:ind w:left="720"/>
      </w:pPr>
    </w:p>
    <w:p w:rsidR="005341DE" w:rsidRDefault="005341DE" w:rsidP="005341DE">
      <w:pPr>
        <w:pStyle w:val="Brdtekstinnrykk"/>
        <w:ind w:left="720"/>
      </w:pPr>
      <w:r>
        <w:t>Anskaffelsen skal foretaes ved åpen eller begrenset anbudskonkurranse. Konkurransepreget dialog eller konkurranse med forhandlinger kan benyttes på visse vilkår. Ref. Forskriftens § 4-2 og  kap. 14.</w:t>
      </w:r>
    </w:p>
    <w:p w:rsidR="005341DE" w:rsidRDefault="005341DE" w:rsidP="005341DE">
      <w:pPr>
        <w:pStyle w:val="Brdtekstinnrykk"/>
        <w:ind w:left="720"/>
      </w:pPr>
    </w:p>
    <w:p w:rsidR="005341DE" w:rsidRDefault="005341DE" w:rsidP="005341DE">
      <w:pPr>
        <w:pStyle w:val="Brdtekstinnrykk"/>
        <w:ind w:left="720"/>
      </w:pPr>
      <w:r>
        <w:t>Konkurransen må kunngjøres både i DOFFIN og EØS-databasen TED i Bruxelles. Her gjelder omfattende kunngjøringsregler, ref. Forskriftens kap. 18.</w:t>
      </w:r>
    </w:p>
    <w:p w:rsidR="005341DE" w:rsidRDefault="005341DE" w:rsidP="005341DE">
      <w:pPr>
        <w:pStyle w:val="Brdtekstinnrykk"/>
        <w:ind w:left="720"/>
      </w:pPr>
      <w:r>
        <w:t xml:space="preserve">Det skal føres egen protokoll for innkjøpet på eget skjema, </w:t>
      </w:r>
      <w:r w:rsidR="00A21ED1">
        <w:t>jmf</w:t>
      </w:r>
      <w:r>
        <w:t xml:space="preserve">. </w:t>
      </w:r>
      <w:r w:rsidR="00A21ED1">
        <w:t>v</w:t>
      </w:r>
      <w:r>
        <w:t>edlegg</w:t>
      </w:r>
      <w:r w:rsidR="00A21ED1">
        <w:t>.</w:t>
      </w:r>
    </w:p>
    <w:p w:rsidR="005341DE" w:rsidRDefault="005341DE" w:rsidP="005341DE">
      <w:pPr>
        <w:pStyle w:val="Brdtekstinnrykk"/>
        <w:ind w:left="720"/>
      </w:pPr>
    </w:p>
    <w:p w:rsidR="005341DE" w:rsidRDefault="005341DE" w:rsidP="005341DE">
      <w:pPr>
        <w:pStyle w:val="Brdtekstinnrykk"/>
        <w:ind w:left="720"/>
      </w:pPr>
      <w:r>
        <w:t>Malen for anbudsdokumentet dekker alle de krav som stilles til en slik konkurranse, krav til HMS-erklæring og skatteattest gjelder også her.</w:t>
      </w:r>
    </w:p>
    <w:p w:rsidR="005341DE" w:rsidRDefault="005341DE" w:rsidP="005341DE">
      <w:pPr>
        <w:pStyle w:val="Brdtekstinnrykk"/>
        <w:ind w:left="720"/>
      </w:pPr>
    </w:p>
    <w:p w:rsidR="005341DE" w:rsidRDefault="005341DE" w:rsidP="005341DE">
      <w:pPr>
        <w:pStyle w:val="Brdtekstinnrykk"/>
        <w:ind w:left="720"/>
      </w:pPr>
      <w:r>
        <w:t>All korrespondanse skal arkiveres på sak på vanlig måte.</w:t>
      </w:r>
    </w:p>
    <w:p w:rsidR="005341DE" w:rsidRDefault="005341DE" w:rsidP="001647D0">
      <w:pPr>
        <w:pStyle w:val="Brdtekstinnrykk"/>
        <w:ind w:left="720"/>
      </w:pPr>
      <w:r>
        <w:t>Ansvarlig for anbudet må instruere Servicekontoret om hvordan innkommende</w:t>
      </w:r>
      <w:r w:rsidR="00CA5B74">
        <w:t xml:space="preserve"> anbud skal håndteres og merke</w:t>
      </w:r>
      <w:r w:rsidR="001647D0">
        <w:t xml:space="preserve">s </w:t>
      </w:r>
    </w:p>
    <w:sectPr w:rsidR="005341DE" w:rsidSect="009634D4">
      <w:pgSz w:w="11906" w:h="16838"/>
      <w:pgMar w:top="1418" w:right="1134" w:bottom="1418"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E6E" w:rsidRDefault="00132E6E">
      <w:r>
        <w:separator/>
      </w:r>
    </w:p>
  </w:endnote>
  <w:endnote w:type="continuationSeparator" w:id="0">
    <w:p w:rsidR="00132E6E" w:rsidRDefault="00132E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4678"/>
      <w:gridCol w:w="2268"/>
    </w:tblGrid>
    <w:tr w:rsidR="00D54F7F" w:rsidRPr="00E645F0" w:rsidTr="00D34907">
      <w:trPr>
        <w:cantSplit/>
      </w:trPr>
      <w:tc>
        <w:tcPr>
          <w:tcW w:w="2410" w:type="dxa"/>
        </w:tcPr>
        <w:p w:rsidR="00D54F7F" w:rsidRPr="00E645F0" w:rsidRDefault="0053511B" w:rsidP="00D34907">
          <w:pPr>
            <w:pStyle w:val="Topptekst"/>
          </w:pPr>
          <w:r w:rsidRPr="00E645F0">
            <w:fldChar w:fldCharType="begin"/>
          </w:r>
          <w:r w:rsidR="00D54F7F" w:rsidRPr="00E645F0">
            <w:instrText xml:space="preserve"> REF Dokumentnummer </w:instrText>
          </w:r>
          <w:r w:rsidR="00D54F7F">
            <w:instrText xml:space="preserve"> \* MERGEFORMAT </w:instrText>
          </w:r>
          <w:r w:rsidRPr="00E645F0">
            <w:fldChar w:fldCharType="separate"/>
          </w:r>
          <w:r w:rsidR="00D54F7F">
            <w:rPr>
              <w:b/>
              <w:bCs/>
            </w:rPr>
            <w:t>Feil! Fant ikke referansekilden.</w:t>
          </w:r>
          <w:r w:rsidRPr="00E645F0">
            <w:fldChar w:fldCharType="end"/>
          </w:r>
        </w:p>
      </w:tc>
      <w:tc>
        <w:tcPr>
          <w:tcW w:w="4678" w:type="dxa"/>
        </w:tcPr>
        <w:p w:rsidR="00D54F7F" w:rsidRPr="00E645F0" w:rsidRDefault="0053511B" w:rsidP="00D34907">
          <w:pPr>
            <w:pStyle w:val="Topptekst"/>
            <w:jc w:val="center"/>
          </w:pPr>
          <w:fldSimple w:instr=" FILENAME ">
            <w:r w:rsidR="00D54F7F">
              <w:rPr>
                <w:noProof/>
              </w:rPr>
              <w:t>Retningslinjer for innkjøp</w:t>
            </w:r>
          </w:fldSimple>
        </w:p>
      </w:tc>
      <w:tc>
        <w:tcPr>
          <w:tcW w:w="2268" w:type="dxa"/>
        </w:tcPr>
        <w:p w:rsidR="00D54F7F" w:rsidRPr="00E645F0" w:rsidRDefault="0053511B" w:rsidP="00D34907">
          <w:pPr>
            <w:pStyle w:val="Topptekst"/>
          </w:pPr>
          <w:r>
            <w:fldChar w:fldCharType="begin"/>
          </w:r>
          <w:r w:rsidR="00D54F7F">
            <w:instrText xml:space="preserve"> REF Gyldigtil  \* MERGEFORMAT </w:instrText>
          </w:r>
          <w:r>
            <w:fldChar w:fldCharType="separate"/>
          </w:r>
          <w:r w:rsidR="00D54F7F">
            <w:rPr>
              <w:b/>
              <w:bCs/>
            </w:rPr>
            <w:t>Feil! Fant ikke referansekilden.</w:t>
          </w:r>
          <w:r>
            <w:fldChar w:fldCharType="end"/>
          </w:r>
        </w:p>
      </w:tc>
    </w:tr>
  </w:tbl>
  <w:p w:rsidR="00D54F7F" w:rsidRDefault="00D54F7F" w:rsidP="005341DE">
    <w:pPr>
      <w:pStyle w:val="Bunntekst"/>
      <w:jc w:val="center"/>
    </w:pPr>
  </w:p>
  <w:p w:rsidR="00D54F7F" w:rsidRPr="005341DE" w:rsidRDefault="00D54F7F" w:rsidP="005341DE">
    <w:pPr>
      <w:pStyle w:val="Bunntekst"/>
      <w:jc w:val="center"/>
    </w:pPr>
    <w:r>
      <w:rPr>
        <w:snapToGrid w:val="0"/>
      </w:rPr>
      <w:t xml:space="preserve">Side </w:t>
    </w:r>
    <w:r w:rsidR="0053511B">
      <w:rPr>
        <w:snapToGrid w:val="0"/>
      </w:rPr>
      <w:fldChar w:fldCharType="begin"/>
    </w:r>
    <w:r>
      <w:rPr>
        <w:snapToGrid w:val="0"/>
      </w:rPr>
      <w:instrText xml:space="preserve"> PAGE </w:instrText>
    </w:r>
    <w:r w:rsidR="0053511B">
      <w:rPr>
        <w:snapToGrid w:val="0"/>
      </w:rPr>
      <w:fldChar w:fldCharType="separate"/>
    </w:r>
    <w:r w:rsidR="00D07F38">
      <w:rPr>
        <w:noProof/>
        <w:snapToGrid w:val="0"/>
      </w:rPr>
      <w:t>1</w:t>
    </w:r>
    <w:r w:rsidR="0053511B">
      <w:rPr>
        <w:snapToGrid w:val="0"/>
      </w:rPr>
      <w:fldChar w:fldCharType="end"/>
    </w:r>
    <w:r>
      <w:rPr>
        <w:snapToGrid w:val="0"/>
      </w:rPr>
      <w:t xml:space="preserve"> av </w:t>
    </w:r>
    <w:r w:rsidR="0053511B">
      <w:rPr>
        <w:snapToGrid w:val="0"/>
      </w:rPr>
      <w:fldChar w:fldCharType="begin"/>
    </w:r>
    <w:r>
      <w:rPr>
        <w:snapToGrid w:val="0"/>
      </w:rPr>
      <w:instrText xml:space="preserve"> NUMPAGES </w:instrText>
    </w:r>
    <w:r w:rsidR="0053511B">
      <w:rPr>
        <w:snapToGrid w:val="0"/>
      </w:rPr>
      <w:fldChar w:fldCharType="separate"/>
    </w:r>
    <w:r w:rsidR="00D07F38">
      <w:rPr>
        <w:noProof/>
        <w:snapToGrid w:val="0"/>
      </w:rPr>
      <w:t>3</w:t>
    </w:r>
    <w:r w:rsidR="0053511B">
      <w:rPr>
        <w:snapToGrid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4678"/>
      <w:gridCol w:w="2268"/>
    </w:tblGrid>
    <w:tr w:rsidR="00D54F7F" w:rsidRPr="00E645F0" w:rsidTr="005341DE">
      <w:trPr>
        <w:cantSplit/>
      </w:trPr>
      <w:tc>
        <w:tcPr>
          <w:tcW w:w="2410" w:type="dxa"/>
        </w:tcPr>
        <w:p w:rsidR="00D54F7F" w:rsidRPr="003B4B64" w:rsidRDefault="00D54F7F" w:rsidP="005341DE">
          <w:pPr>
            <w:pStyle w:val="Topptekst"/>
          </w:pPr>
          <w:r w:rsidRPr="003B4B64">
            <w:t>1635-1200-2012-6031</w:t>
          </w:r>
        </w:p>
      </w:tc>
      <w:tc>
        <w:tcPr>
          <w:tcW w:w="4678" w:type="dxa"/>
        </w:tcPr>
        <w:p w:rsidR="00D54F7F" w:rsidRPr="00E645F0" w:rsidRDefault="00D54F7F" w:rsidP="005341DE">
          <w:pPr>
            <w:pStyle w:val="Topptekst"/>
            <w:jc w:val="center"/>
          </w:pPr>
          <w:r>
            <w:t>Retningslinjer for innkjøp</w:t>
          </w:r>
        </w:p>
      </w:tc>
      <w:tc>
        <w:tcPr>
          <w:tcW w:w="2268" w:type="dxa"/>
        </w:tcPr>
        <w:p w:rsidR="00D54F7F" w:rsidRPr="00E645F0" w:rsidRDefault="00D54F7F" w:rsidP="005341DE">
          <w:pPr>
            <w:pStyle w:val="Topptekst"/>
          </w:pPr>
          <w:r>
            <w:t>Gyldig fra: 20.02.2012</w:t>
          </w:r>
        </w:p>
      </w:tc>
    </w:tr>
  </w:tbl>
  <w:p w:rsidR="00D54F7F" w:rsidRDefault="00D54F7F" w:rsidP="005341DE">
    <w:pPr>
      <w:pStyle w:val="Bunntekst"/>
      <w:jc w:val="center"/>
    </w:pPr>
  </w:p>
  <w:p w:rsidR="00D54F7F" w:rsidRPr="005341DE" w:rsidRDefault="00D54F7F" w:rsidP="00D34907">
    <w:pPr>
      <w:pStyle w:val="Bunntekst"/>
      <w:jc w:val="center"/>
    </w:pPr>
    <w:r>
      <w:rPr>
        <w:snapToGrid w:val="0"/>
      </w:rPr>
      <w:t xml:space="preserve">Side </w:t>
    </w:r>
    <w:r w:rsidR="0053511B">
      <w:rPr>
        <w:snapToGrid w:val="0"/>
      </w:rPr>
      <w:fldChar w:fldCharType="begin"/>
    </w:r>
    <w:r>
      <w:rPr>
        <w:snapToGrid w:val="0"/>
      </w:rPr>
      <w:instrText xml:space="preserve"> PAGE </w:instrText>
    </w:r>
    <w:r w:rsidR="0053511B">
      <w:rPr>
        <w:snapToGrid w:val="0"/>
      </w:rPr>
      <w:fldChar w:fldCharType="separate"/>
    </w:r>
    <w:r>
      <w:rPr>
        <w:noProof/>
        <w:snapToGrid w:val="0"/>
      </w:rPr>
      <w:t>3</w:t>
    </w:r>
    <w:r w:rsidR="0053511B">
      <w:rPr>
        <w:snapToGrid w:val="0"/>
      </w:rPr>
      <w:fldChar w:fldCharType="end"/>
    </w:r>
    <w:r>
      <w:rPr>
        <w:snapToGrid w:val="0"/>
      </w:rPr>
      <w:t xml:space="preserve"> av 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1887"/>
      <w:docPartObj>
        <w:docPartGallery w:val="Page Numbers (Bottom of Page)"/>
        <w:docPartUnique/>
      </w:docPartObj>
    </w:sdtPr>
    <w:sdtContent>
      <w:sdt>
        <w:sdtPr>
          <w:id w:val="6151886"/>
          <w:docPartObj>
            <w:docPartGallery w:val="Page Numbers (Top of Page)"/>
            <w:docPartUnique/>
          </w:docPartObj>
        </w:sdtPr>
        <w:sdtContent>
          <w:p w:rsidR="002B67AE" w:rsidRDefault="002B67AE">
            <w:pPr>
              <w:pStyle w:val="Bunntekst"/>
              <w:jc w:val="center"/>
            </w:pPr>
          </w:p>
          <w:tbl>
            <w:tblPr>
              <w:tblW w:w="91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850"/>
              <w:gridCol w:w="851"/>
              <w:gridCol w:w="1417"/>
              <w:gridCol w:w="1401"/>
              <w:gridCol w:w="851"/>
              <w:gridCol w:w="851"/>
              <w:gridCol w:w="1417"/>
            </w:tblGrid>
            <w:tr w:rsidR="002B67AE" w:rsidRPr="007D1B35" w:rsidTr="000228A3">
              <w:tc>
                <w:tcPr>
                  <w:tcW w:w="1560" w:type="dxa"/>
                </w:tcPr>
                <w:p w:rsidR="002B67AE" w:rsidRPr="007D1B35" w:rsidRDefault="002B67AE" w:rsidP="000228A3">
                  <w:pPr>
                    <w:pStyle w:val="Bunntekst"/>
                  </w:pPr>
                  <w:r>
                    <w:t>Utarbeidet av:</w:t>
                  </w:r>
                </w:p>
              </w:tc>
              <w:tc>
                <w:tcPr>
                  <w:tcW w:w="1701" w:type="dxa"/>
                  <w:gridSpan w:val="2"/>
                </w:tcPr>
                <w:p w:rsidR="002B67AE" w:rsidRPr="007D1B35" w:rsidRDefault="003F34DF" w:rsidP="000228A3">
                  <w:pPr>
                    <w:pStyle w:val="Bunntekst"/>
                  </w:pPr>
                  <w:r>
                    <w:t>Rådmannen</w:t>
                  </w:r>
                </w:p>
              </w:tc>
              <w:tc>
                <w:tcPr>
                  <w:tcW w:w="1417" w:type="dxa"/>
                </w:tcPr>
                <w:p w:rsidR="002B67AE" w:rsidRPr="007D1B35" w:rsidRDefault="002B67AE" w:rsidP="000228A3">
                  <w:pPr>
                    <w:pStyle w:val="Bunntekst"/>
                  </w:pPr>
                  <w:r w:rsidRPr="007D1B35">
                    <w:t>Sign:</w:t>
                  </w:r>
                </w:p>
              </w:tc>
              <w:tc>
                <w:tcPr>
                  <w:tcW w:w="1401" w:type="dxa"/>
                </w:tcPr>
                <w:p w:rsidR="002B67AE" w:rsidRPr="007D1B35" w:rsidRDefault="002B67AE" w:rsidP="000228A3">
                  <w:pPr>
                    <w:pStyle w:val="Bunntekst"/>
                  </w:pPr>
                  <w:r w:rsidRPr="007D1B35">
                    <w:t>Godkjent av:</w:t>
                  </w:r>
                </w:p>
              </w:tc>
              <w:tc>
                <w:tcPr>
                  <w:tcW w:w="1702" w:type="dxa"/>
                  <w:gridSpan w:val="2"/>
                </w:tcPr>
                <w:p w:rsidR="002B67AE" w:rsidRPr="007D1B35" w:rsidRDefault="002B67AE" w:rsidP="000228A3">
                  <w:pPr>
                    <w:pStyle w:val="Bunntekst"/>
                  </w:pPr>
                  <w:r>
                    <w:t>Rådmannen</w:t>
                  </w:r>
                </w:p>
              </w:tc>
              <w:tc>
                <w:tcPr>
                  <w:tcW w:w="1417" w:type="dxa"/>
                </w:tcPr>
                <w:p w:rsidR="002B67AE" w:rsidRPr="007D1B35" w:rsidRDefault="002B67AE" w:rsidP="000228A3">
                  <w:pPr>
                    <w:pStyle w:val="Bunntekst"/>
                  </w:pPr>
                  <w:r w:rsidRPr="007D1B35">
                    <w:t>Sign:</w:t>
                  </w:r>
                </w:p>
              </w:tc>
            </w:tr>
            <w:tr w:rsidR="002B67AE" w:rsidRPr="007D1B35" w:rsidTr="000228A3">
              <w:tc>
                <w:tcPr>
                  <w:tcW w:w="1560" w:type="dxa"/>
                </w:tcPr>
                <w:p w:rsidR="002B67AE" w:rsidRPr="007D1B35" w:rsidRDefault="002B67AE" w:rsidP="000228A3">
                  <w:pPr>
                    <w:pStyle w:val="Bunntekst"/>
                  </w:pPr>
                  <w:r w:rsidRPr="007D1B35">
                    <w:t>Revidert av:</w:t>
                  </w:r>
                </w:p>
              </w:tc>
              <w:tc>
                <w:tcPr>
                  <w:tcW w:w="1701" w:type="dxa"/>
                  <w:gridSpan w:val="2"/>
                </w:tcPr>
                <w:p w:rsidR="002B67AE" w:rsidRPr="007D1B35" w:rsidRDefault="002B67AE" w:rsidP="000228A3">
                  <w:pPr>
                    <w:pStyle w:val="Bunntekst"/>
                    <w:ind w:left="-70" w:firstLine="70"/>
                  </w:pPr>
                </w:p>
              </w:tc>
              <w:tc>
                <w:tcPr>
                  <w:tcW w:w="1417" w:type="dxa"/>
                </w:tcPr>
                <w:p w:rsidR="002B67AE" w:rsidRPr="007D1B35" w:rsidRDefault="002B67AE" w:rsidP="000228A3">
                  <w:pPr>
                    <w:pStyle w:val="Bunntekst"/>
                    <w:ind w:left="-70" w:firstLine="70"/>
                  </w:pPr>
                  <w:r w:rsidRPr="007D1B35">
                    <w:t>Sign:</w:t>
                  </w:r>
                </w:p>
              </w:tc>
              <w:tc>
                <w:tcPr>
                  <w:tcW w:w="1401" w:type="dxa"/>
                </w:tcPr>
                <w:p w:rsidR="002B67AE" w:rsidRPr="007D1B35" w:rsidRDefault="002B67AE" w:rsidP="000228A3">
                  <w:pPr>
                    <w:pStyle w:val="Bunntekst"/>
                  </w:pPr>
                  <w:r w:rsidRPr="007D1B35">
                    <w:t>Distribuert av:</w:t>
                  </w:r>
                </w:p>
              </w:tc>
              <w:tc>
                <w:tcPr>
                  <w:tcW w:w="1702" w:type="dxa"/>
                  <w:gridSpan w:val="2"/>
                </w:tcPr>
                <w:p w:rsidR="002B67AE" w:rsidRPr="007D1B35" w:rsidRDefault="002B67AE" w:rsidP="000228A3">
                  <w:pPr>
                    <w:pStyle w:val="Bunntekst"/>
                  </w:pPr>
                </w:p>
              </w:tc>
              <w:tc>
                <w:tcPr>
                  <w:tcW w:w="1417" w:type="dxa"/>
                </w:tcPr>
                <w:p w:rsidR="002B67AE" w:rsidRPr="007D1B35" w:rsidRDefault="002B67AE" w:rsidP="000228A3">
                  <w:pPr>
                    <w:pStyle w:val="Bunntekst"/>
                  </w:pPr>
                  <w:r w:rsidRPr="007D1B35">
                    <w:t>Sign:</w:t>
                  </w:r>
                </w:p>
              </w:tc>
            </w:tr>
            <w:tr w:rsidR="002B67AE" w:rsidRPr="007D1B35" w:rsidTr="000228A3">
              <w:trPr>
                <w:cantSplit/>
              </w:trPr>
              <w:tc>
                <w:tcPr>
                  <w:tcW w:w="2410" w:type="dxa"/>
                  <w:gridSpan w:val="2"/>
                </w:tcPr>
                <w:p w:rsidR="002B67AE" w:rsidRPr="007D1B35" w:rsidRDefault="002B67AE" w:rsidP="000228A3">
                  <w:pPr>
                    <w:pStyle w:val="Topptekst"/>
                  </w:pPr>
                  <w:r>
                    <w:t>1635-1200-2012-6031</w:t>
                  </w:r>
                </w:p>
              </w:tc>
              <w:tc>
                <w:tcPr>
                  <w:tcW w:w="4520" w:type="dxa"/>
                  <w:gridSpan w:val="4"/>
                </w:tcPr>
                <w:p w:rsidR="002B67AE" w:rsidRPr="007D1B35" w:rsidRDefault="002B67AE" w:rsidP="000228A3">
                  <w:pPr>
                    <w:pStyle w:val="Topptekst"/>
                    <w:jc w:val="center"/>
                  </w:pPr>
                  <w:r>
                    <w:t>Retningslinjer for innkjøp</w:t>
                  </w:r>
                </w:p>
              </w:tc>
              <w:tc>
                <w:tcPr>
                  <w:tcW w:w="2268" w:type="dxa"/>
                  <w:gridSpan w:val="2"/>
                </w:tcPr>
                <w:p w:rsidR="002B67AE" w:rsidRPr="007D1B35" w:rsidRDefault="002B67AE" w:rsidP="000228A3">
                  <w:pPr>
                    <w:pStyle w:val="Topptekst"/>
                  </w:pPr>
                  <w:r>
                    <w:t>Gyldig fra: 20.02.2012</w:t>
                  </w:r>
                </w:p>
              </w:tc>
            </w:tr>
          </w:tbl>
          <w:p w:rsidR="00D20DF8" w:rsidRDefault="00D20DF8">
            <w:pPr>
              <w:pStyle w:val="Bunntekst"/>
              <w:jc w:val="center"/>
            </w:pPr>
            <w:r>
              <w:t xml:space="preserve">Side </w:t>
            </w:r>
            <w:r w:rsidR="0053511B">
              <w:rPr>
                <w:b/>
                <w:sz w:val="24"/>
                <w:szCs w:val="24"/>
              </w:rPr>
              <w:fldChar w:fldCharType="begin"/>
            </w:r>
            <w:r>
              <w:rPr>
                <w:b/>
              </w:rPr>
              <w:instrText>PAGE</w:instrText>
            </w:r>
            <w:r w:rsidR="0053511B">
              <w:rPr>
                <w:b/>
                <w:sz w:val="24"/>
                <w:szCs w:val="24"/>
              </w:rPr>
              <w:fldChar w:fldCharType="separate"/>
            </w:r>
            <w:r w:rsidR="00D07F38">
              <w:rPr>
                <w:b/>
                <w:noProof/>
              </w:rPr>
              <w:t>2</w:t>
            </w:r>
            <w:r w:rsidR="0053511B">
              <w:rPr>
                <w:b/>
                <w:sz w:val="24"/>
                <w:szCs w:val="24"/>
              </w:rPr>
              <w:fldChar w:fldCharType="end"/>
            </w:r>
            <w:r>
              <w:t xml:space="preserve"> av </w:t>
            </w:r>
            <w:r w:rsidR="0053511B">
              <w:rPr>
                <w:b/>
                <w:sz w:val="24"/>
                <w:szCs w:val="24"/>
              </w:rPr>
              <w:fldChar w:fldCharType="begin"/>
            </w:r>
            <w:r>
              <w:rPr>
                <w:b/>
              </w:rPr>
              <w:instrText>NUMPAGES</w:instrText>
            </w:r>
            <w:r w:rsidR="0053511B">
              <w:rPr>
                <w:b/>
                <w:sz w:val="24"/>
                <w:szCs w:val="24"/>
              </w:rPr>
              <w:fldChar w:fldCharType="separate"/>
            </w:r>
            <w:r w:rsidR="00D07F38">
              <w:rPr>
                <w:b/>
                <w:noProof/>
              </w:rPr>
              <w:t>4</w:t>
            </w:r>
            <w:r w:rsidR="0053511B">
              <w:rPr>
                <w:b/>
                <w:sz w:val="24"/>
                <w:szCs w:val="24"/>
              </w:rPr>
              <w:fldChar w:fldCharType="end"/>
            </w:r>
          </w:p>
        </w:sdtContent>
      </w:sdt>
    </w:sdtContent>
  </w:sdt>
  <w:p w:rsidR="00D54F7F" w:rsidRPr="00D34907" w:rsidRDefault="00D54F7F" w:rsidP="00D54F7F">
    <w:pPr>
      <w:pStyle w:val="Bunntekst"/>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1889"/>
      <w:docPartObj>
        <w:docPartGallery w:val="Page Numbers (Bottom of Page)"/>
        <w:docPartUnique/>
      </w:docPartObj>
    </w:sdtPr>
    <w:sdtContent>
      <w:sdt>
        <w:sdtPr>
          <w:id w:val="6151888"/>
          <w:docPartObj>
            <w:docPartGallery w:val="Page Numbers (Top of Page)"/>
            <w:docPartUnique/>
          </w:docPartObj>
        </w:sdtPr>
        <w:sdtContent>
          <w:sdt>
            <w:sdtPr>
              <w:id w:val="21956111"/>
              <w:docPartObj>
                <w:docPartGallery w:val="Page Numbers (Bottom of Page)"/>
                <w:docPartUnique/>
              </w:docPartObj>
            </w:sdtPr>
            <w:sdtContent>
              <w:sdt>
                <w:sdtPr>
                  <w:id w:val="21956112"/>
                  <w:docPartObj>
                    <w:docPartGallery w:val="Page Numbers (Top of Page)"/>
                    <w:docPartUnique/>
                  </w:docPartObj>
                </w:sdtPr>
                <w:sdtContent>
                  <w:p w:rsidR="005222C3" w:rsidRDefault="005222C3" w:rsidP="005222C3">
                    <w:pPr>
                      <w:pStyle w:val="Bunntekst"/>
                      <w:jc w:val="cente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4678"/>
                      <w:gridCol w:w="2268"/>
                    </w:tblGrid>
                    <w:tr w:rsidR="005222C3" w:rsidRPr="00E645F0" w:rsidTr="00A45B4E">
                      <w:trPr>
                        <w:cantSplit/>
                      </w:trPr>
                      <w:tc>
                        <w:tcPr>
                          <w:tcW w:w="2410" w:type="dxa"/>
                        </w:tcPr>
                        <w:p w:rsidR="005222C3" w:rsidRPr="00E645F0" w:rsidRDefault="005222C3" w:rsidP="00A45B4E">
                          <w:pPr>
                            <w:pStyle w:val="Topptekst"/>
                          </w:pPr>
                          <w:r w:rsidRPr="00AF019A">
                            <w:t>1635-1200-2012-6031</w:t>
                          </w:r>
                        </w:p>
                      </w:tc>
                      <w:tc>
                        <w:tcPr>
                          <w:tcW w:w="4678" w:type="dxa"/>
                        </w:tcPr>
                        <w:p w:rsidR="005222C3" w:rsidRPr="00E645F0" w:rsidRDefault="005222C3" w:rsidP="00A45B4E">
                          <w:pPr>
                            <w:pStyle w:val="Topptekst"/>
                            <w:jc w:val="center"/>
                          </w:pPr>
                          <w:r>
                            <w:t>Retningslinjer for innkjøp</w:t>
                          </w:r>
                        </w:p>
                      </w:tc>
                      <w:tc>
                        <w:tcPr>
                          <w:tcW w:w="2268" w:type="dxa"/>
                        </w:tcPr>
                        <w:p w:rsidR="005222C3" w:rsidRPr="00E645F0" w:rsidRDefault="005222C3" w:rsidP="00A45B4E">
                          <w:pPr>
                            <w:pStyle w:val="Topptekst"/>
                          </w:pPr>
                          <w:r w:rsidRPr="00AF019A">
                            <w:t>Gyldig fra: 20.02.2012</w:t>
                          </w:r>
                        </w:p>
                      </w:tc>
                    </w:tr>
                  </w:tbl>
                  <w:p w:rsidR="005222C3" w:rsidRDefault="005222C3" w:rsidP="005222C3">
                    <w:pPr>
                      <w:pStyle w:val="Bunntekst"/>
                      <w:jc w:val="center"/>
                      <w:rPr>
                        <w:b/>
                        <w:sz w:val="24"/>
                        <w:szCs w:val="24"/>
                      </w:rPr>
                    </w:pPr>
                    <w:r>
                      <w:t xml:space="preserve">Side </w:t>
                    </w:r>
                    <w:r w:rsidR="0053511B">
                      <w:rPr>
                        <w:b/>
                        <w:sz w:val="24"/>
                        <w:szCs w:val="24"/>
                      </w:rPr>
                      <w:fldChar w:fldCharType="begin"/>
                    </w:r>
                    <w:r>
                      <w:rPr>
                        <w:b/>
                      </w:rPr>
                      <w:instrText>PAGE</w:instrText>
                    </w:r>
                    <w:r w:rsidR="0053511B">
                      <w:rPr>
                        <w:b/>
                        <w:sz w:val="24"/>
                        <w:szCs w:val="24"/>
                      </w:rPr>
                      <w:fldChar w:fldCharType="separate"/>
                    </w:r>
                    <w:r w:rsidR="00D07F38">
                      <w:rPr>
                        <w:b/>
                        <w:noProof/>
                      </w:rPr>
                      <w:t>5</w:t>
                    </w:r>
                    <w:r w:rsidR="0053511B">
                      <w:rPr>
                        <w:b/>
                        <w:sz w:val="24"/>
                        <w:szCs w:val="24"/>
                      </w:rPr>
                      <w:fldChar w:fldCharType="end"/>
                    </w:r>
                    <w:r>
                      <w:t xml:space="preserve"> av </w:t>
                    </w:r>
                    <w:r w:rsidR="0053511B">
                      <w:rPr>
                        <w:b/>
                        <w:sz w:val="24"/>
                        <w:szCs w:val="24"/>
                      </w:rPr>
                      <w:fldChar w:fldCharType="begin"/>
                    </w:r>
                    <w:r>
                      <w:rPr>
                        <w:b/>
                      </w:rPr>
                      <w:instrText>NUMPAGES</w:instrText>
                    </w:r>
                    <w:r w:rsidR="0053511B">
                      <w:rPr>
                        <w:b/>
                        <w:sz w:val="24"/>
                        <w:szCs w:val="24"/>
                      </w:rPr>
                      <w:fldChar w:fldCharType="separate"/>
                    </w:r>
                    <w:r w:rsidR="00D07F38">
                      <w:rPr>
                        <w:b/>
                        <w:noProof/>
                      </w:rPr>
                      <w:t>5</w:t>
                    </w:r>
                    <w:r w:rsidR="0053511B">
                      <w:rPr>
                        <w:b/>
                        <w:sz w:val="24"/>
                        <w:szCs w:val="24"/>
                      </w:rPr>
                      <w:fldChar w:fldCharType="end"/>
                    </w:r>
                  </w:p>
                  <w:p w:rsidR="005222C3" w:rsidRDefault="005222C3" w:rsidP="005222C3">
                    <w:pPr>
                      <w:pStyle w:val="Bunntekst"/>
                      <w:rPr>
                        <w:b/>
                        <w:sz w:val="24"/>
                        <w:szCs w:val="24"/>
                      </w:rPr>
                    </w:pPr>
                  </w:p>
                  <w:p w:rsidR="00D54F7F" w:rsidRPr="00D34907" w:rsidRDefault="0053511B" w:rsidP="005222C3">
                    <w:pPr>
                      <w:pStyle w:val="Bunntekst"/>
                    </w:pPr>
                  </w:p>
                </w:sdtContent>
              </w:sdt>
            </w:sdtContent>
          </w:sdt>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1844"/>
      <w:docPartObj>
        <w:docPartGallery w:val="Page Numbers (Bottom of Page)"/>
        <w:docPartUnique/>
      </w:docPartObj>
    </w:sdtPr>
    <w:sdtContent>
      <w:sdt>
        <w:sdtPr>
          <w:id w:val="14070154"/>
          <w:docPartObj>
            <w:docPartGallery w:val="Page Numbers (Top of Page)"/>
            <w:docPartUnique/>
          </w:docPartObj>
        </w:sdtPr>
        <w:sdtContent>
          <w:p w:rsidR="00D20DF8" w:rsidRDefault="00D20DF8">
            <w:pPr>
              <w:pStyle w:val="Bunntekst"/>
              <w:jc w:val="cente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4678"/>
              <w:gridCol w:w="2268"/>
            </w:tblGrid>
            <w:tr w:rsidR="00D20DF8" w:rsidRPr="00E645F0" w:rsidTr="002D7AD2">
              <w:trPr>
                <w:cantSplit/>
              </w:trPr>
              <w:tc>
                <w:tcPr>
                  <w:tcW w:w="2410" w:type="dxa"/>
                </w:tcPr>
                <w:p w:rsidR="00D20DF8" w:rsidRPr="00E645F0" w:rsidRDefault="00AF019A" w:rsidP="00D20DF8">
                  <w:pPr>
                    <w:pStyle w:val="Topptekst"/>
                  </w:pPr>
                  <w:r w:rsidRPr="00AF019A">
                    <w:t>1635-1200-2012-6031</w:t>
                  </w:r>
                </w:p>
              </w:tc>
              <w:tc>
                <w:tcPr>
                  <w:tcW w:w="4678" w:type="dxa"/>
                </w:tcPr>
                <w:p w:rsidR="00D20DF8" w:rsidRPr="00E645F0" w:rsidRDefault="00D20DF8" w:rsidP="002D7AD2">
                  <w:pPr>
                    <w:pStyle w:val="Topptekst"/>
                    <w:jc w:val="center"/>
                  </w:pPr>
                  <w:r>
                    <w:t>Retningslinjer for innkjøp</w:t>
                  </w:r>
                </w:p>
              </w:tc>
              <w:tc>
                <w:tcPr>
                  <w:tcW w:w="2268" w:type="dxa"/>
                </w:tcPr>
                <w:p w:rsidR="00D20DF8" w:rsidRPr="00E645F0" w:rsidRDefault="00AF019A" w:rsidP="00AF019A">
                  <w:pPr>
                    <w:pStyle w:val="Topptekst"/>
                  </w:pPr>
                  <w:r w:rsidRPr="00AF019A">
                    <w:t>Gyldig fra: 20.02.2012</w:t>
                  </w:r>
                </w:p>
              </w:tc>
            </w:tr>
          </w:tbl>
          <w:p w:rsidR="00D54F7F" w:rsidRDefault="00D54F7F">
            <w:pPr>
              <w:pStyle w:val="Bunntekst"/>
              <w:jc w:val="center"/>
            </w:pPr>
            <w:r>
              <w:t xml:space="preserve">Side </w:t>
            </w:r>
            <w:r w:rsidR="0053511B">
              <w:rPr>
                <w:b/>
                <w:sz w:val="24"/>
                <w:szCs w:val="24"/>
              </w:rPr>
              <w:fldChar w:fldCharType="begin"/>
            </w:r>
            <w:r>
              <w:rPr>
                <w:b/>
              </w:rPr>
              <w:instrText>PAGE</w:instrText>
            </w:r>
            <w:r w:rsidR="0053511B">
              <w:rPr>
                <w:b/>
                <w:sz w:val="24"/>
                <w:szCs w:val="24"/>
              </w:rPr>
              <w:fldChar w:fldCharType="separate"/>
            </w:r>
            <w:r w:rsidR="00D07F38">
              <w:rPr>
                <w:b/>
                <w:noProof/>
              </w:rPr>
              <w:t>4</w:t>
            </w:r>
            <w:r w:rsidR="0053511B">
              <w:rPr>
                <w:b/>
                <w:sz w:val="24"/>
                <w:szCs w:val="24"/>
              </w:rPr>
              <w:fldChar w:fldCharType="end"/>
            </w:r>
            <w:r>
              <w:t xml:space="preserve"> av </w:t>
            </w:r>
            <w:r w:rsidR="0053511B">
              <w:rPr>
                <w:b/>
                <w:sz w:val="24"/>
                <w:szCs w:val="24"/>
              </w:rPr>
              <w:fldChar w:fldCharType="begin"/>
            </w:r>
            <w:r>
              <w:rPr>
                <w:b/>
              </w:rPr>
              <w:instrText>NUMPAGES</w:instrText>
            </w:r>
            <w:r w:rsidR="0053511B">
              <w:rPr>
                <w:b/>
                <w:sz w:val="24"/>
                <w:szCs w:val="24"/>
              </w:rPr>
              <w:fldChar w:fldCharType="separate"/>
            </w:r>
            <w:r w:rsidR="00D07F38">
              <w:rPr>
                <w:b/>
                <w:noProof/>
              </w:rPr>
              <w:t>4</w:t>
            </w:r>
            <w:r w:rsidR="0053511B">
              <w:rPr>
                <w:b/>
                <w:sz w:val="24"/>
                <w:szCs w:val="24"/>
              </w:rPr>
              <w:fldChar w:fldCharType="end"/>
            </w:r>
          </w:p>
        </w:sdtContent>
      </w:sdt>
    </w:sdtContent>
  </w:sdt>
  <w:p w:rsidR="00D54F7F" w:rsidRPr="005341DE" w:rsidRDefault="00D54F7F" w:rsidP="00D34907">
    <w:pPr>
      <w:pStyle w:val="Bunntekst"/>
      <w:jc w:val="center"/>
    </w:pPr>
  </w:p>
  <w:p w:rsidR="00111F6E" w:rsidRDefault="00111F6E"/>
  <w:p w:rsidR="00111F6E" w:rsidRDefault="00111F6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E6E" w:rsidRDefault="00132E6E">
      <w:r>
        <w:separator/>
      </w:r>
    </w:p>
  </w:footnote>
  <w:footnote w:type="continuationSeparator" w:id="0">
    <w:p w:rsidR="00132E6E" w:rsidRDefault="00132E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0"/>
      <w:gridCol w:w="4004"/>
      <w:gridCol w:w="2942"/>
    </w:tblGrid>
    <w:tr w:rsidR="00D54F7F" w:rsidTr="00D54F7F">
      <w:trPr>
        <w:cantSplit/>
      </w:trPr>
      <w:tc>
        <w:tcPr>
          <w:tcW w:w="2480" w:type="dxa"/>
          <w:vMerge w:val="restart"/>
        </w:tcPr>
        <w:p w:rsidR="00D54F7F" w:rsidRDefault="00D54F7F" w:rsidP="00D54F7F">
          <w:pPr>
            <w:pStyle w:val="Topptekst"/>
            <w:rPr>
              <w:sz w:val="24"/>
            </w:rPr>
          </w:pPr>
        </w:p>
        <w:p w:rsidR="00D54F7F" w:rsidRDefault="00D54F7F" w:rsidP="00D54F7F">
          <w:pPr>
            <w:pStyle w:val="Topptekst"/>
            <w:rPr>
              <w:sz w:val="24"/>
            </w:rPr>
          </w:pPr>
          <w:r>
            <w:rPr>
              <w:sz w:val="24"/>
            </w:rPr>
            <w:t>Retningslinjer for innkjøp</w:t>
          </w:r>
        </w:p>
      </w:tc>
      <w:tc>
        <w:tcPr>
          <w:tcW w:w="4004" w:type="dxa"/>
        </w:tcPr>
        <w:p w:rsidR="00D54F7F" w:rsidRDefault="00D54F7F" w:rsidP="00D54F7F">
          <w:pPr>
            <w:pStyle w:val="Topptekst"/>
            <w:jc w:val="center"/>
            <w:rPr>
              <w:b/>
              <w:sz w:val="32"/>
            </w:rPr>
          </w:pPr>
          <w:r>
            <w:rPr>
              <w:b/>
              <w:noProof/>
              <w:sz w:val="32"/>
            </w:rPr>
            <w:drawing>
              <wp:inline distT="0" distB="0" distL="0" distR="0">
                <wp:extent cx="1947545" cy="660400"/>
                <wp:effectExtent l="19050" t="0" r="0" b="0"/>
                <wp:docPr id="5" name="Bilde 36" descr="logo_liten_brev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_liten_brevark"/>
                        <pic:cNvPicPr>
                          <a:picLocks noChangeAspect="1" noChangeArrowheads="1"/>
                        </pic:cNvPicPr>
                      </pic:nvPicPr>
                      <pic:blipFill>
                        <a:blip r:embed="rId1"/>
                        <a:srcRect/>
                        <a:stretch>
                          <a:fillRect/>
                        </a:stretch>
                      </pic:blipFill>
                      <pic:spPr bwMode="auto">
                        <a:xfrm>
                          <a:off x="0" y="0"/>
                          <a:ext cx="1947545" cy="660400"/>
                        </a:xfrm>
                        <a:prstGeom prst="rect">
                          <a:avLst/>
                        </a:prstGeom>
                        <a:noFill/>
                        <a:ln w="9525">
                          <a:noFill/>
                          <a:miter lim="800000"/>
                          <a:headEnd/>
                          <a:tailEnd/>
                        </a:ln>
                      </pic:spPr>
                    </pic:pic>
                  </a:graphicData>
                </a:graphic>
              </wp:inline>
            </w:drawing>
          </w:r>
        </w:p>
      </w:tc>
      <w:tc>
        <w:tcPr>
          <w:tcW w:w="2942" w:type="dxa"/>
        </w:tcPr>
        <w:p w:rsidR="00D54F7F" w:rsidRDefault="00D54F7F" w:rsidP="00D54F7F">
          <w:pPr>
            <w:pStyle w:val="Topptekst"/>
            <w:rPr>
              <w:sz w:val="24"/>
            </w:rPr>
          </w:pPr>
        </w:p>
        <w:p w:rsidR="00D54F7F" w:rsidRPr="00E64C5E" w:rsidRDefault="00D54F7F" w:rsidP="00D54F7F">
          <w:pPr>
            <w:pStyle w:val="Topptekst"/>
            <w:rPr>
              <w:b/>
              <w:sz w:val="24"/>
              <w:szCs w:val="24"/>
            </w:rPr>
          </w:pPr>
          <w:r>
            <w:rPr>
              <w:sz w:val="24"/>
            </w:rPr>
            <w:t>Rennebu kommune</w:t>
          </w:r>
        </w:p>
        <w:p w:rsidR="00D54F7F" w:rsidRDefault="00D54F7F" w:rsidP="00D54F7F">
          <w:pPr>
            <w:pStyle w:val="Topptekst"/>
            <w:rPr>
              <w:sz w:val="24"/>
            </w:rPr>
          </w:pPr>
        </w:p>
      </w:tc>
    </w:tr>
    <w:tr w:rsidR="00D54F7F" w:rsidTr="00D54F7F">
      <w:trPr>
        <w:cantSplit/>
      </w:trPr>
      <w:tc>
        <w:tcPr>
          <w:tcW w:w="2480" w:type="dxa"/>
          <w:vMerge/>
        </w:tcPr>
        <w:p w:rsidR="00D54F7F" w:rsidRDefault="00D54F7F" w:rsidP="00D54F7F">
          <w:pPr>
            <w:pStyle w:val="Topptekst"/>
            <w:rPr>
              <w:sz w:val="24"/>
            </w:rPr>
          </w:pPr>
        </w:p>
      </w:tc>
      <w:tc>
        <w:tcPr>
          <w:tcW w:w="4004" w:type="dxa"/>
          <w:tcBorders>
            <w:bottom w:val="nil"/>
          </w:tcBorders>
        </w:tcPr>
        <w:p w:rsidR="00D54F7F" w:rsidRDefault="00D54F7F" w:rsidP="00D54F7F">
          <w:pPr>
            <w:pStyle w:val="Topptekst"/>
            <w:jc w:val="center"/>
            <w:rPr>
              <w:b/>
              <w:sz w:val="28"/>
            </w:rPr>
          </w:pPr>
        </w:p>
      </w:tc>
      <w:tc>
        <w:tcPr>
          <w:tcW w:w="2942" w:type="dxa"/>
        </w:tcPr>
        <w:p w:rsidR="00D54F7F" w:rsidRDefault="00D54F7F" w:rsidP="00D54F7F">
          <w:pPr>
            <w:pStyle w:val="Topptekst"/>
            <w:rPr>
              <w:sz w:val="24"/>
            </w:rPr>
          </w:pPr>
          <w:r>
            <w:rPr>
              <w:sz w:val="24"/>
            </w:rPr>
            <w:t xml:space="preserve">Gyldig fra: 20.02.2012 </w:t>
          </w:r>
        </w:p>
      </w:tc>
    </w:tr>
    <w:tr w:rsidR="00D54F7F" w:rsidTr="00D54F7F">
      <w:trPr>
        <w:cantSplit/>
      </w:trPr>
      <w:tc>
        <w:tcPr>
          <w:tcW w:w="2480" w:type="dxa"/>
          <w:tcBorders>
            <w:right w:val="nil"/>
          </w:tcBorders>
        </w:tcPr>
        <w:p w:rsidR="00D54F7F" w:rsidRPr="00112009" w:rsidRDefault="00D54F7F" w:rsidP="00D54F7F">
          <w:pPr>
            <w:pStyle w:val="Topptekst"/>
            <w:rPr>
              <w:sz w:val="24"/>
              <w:szCs w:val="24"/>
            </w:rPr>
          </w:pPr>
          <w:r>
            <w:rPr>
              <w:sz w:val="24"/>
              <w:szCs w:val="24"/>
            </w:rPr>
            <w:t>1635-1200-2012</w:t>
          </w:r>
          <w:r w:rsidRPr="00112009">
            <w:rPr>
              <w:sz w:val="24"/>
              <w:szCs w:val="24"/>
            </w:rPr>
            <w:t>-</w:t>
          </w:r>
          <w:r>
            <w:rPr>
              <w:sz w:val="24"/>
              <w:szCs w:val="24"/>
            </w:rPr>
            <w:t xml:space="preserve">6031 </w:t>
          </w:r>
        </w:p>
      </w:tc>
      <w:tc>
        <w:tcPr>
          <w:tcW w:w="4004" w:type="dxa"/>
          <w:vMerge w:val="restart"/>
          <w:tcBorders>
            <w:top w:val="single" w:sz="4" w:space="0" w:color="auto"/>
            <w:left w:val="single" w:sz="4" w:space="0" w:color="auto"/>
            <w:bottom w:val="nil"/>
            <w:right w:val="single" w:sz="4" w:space="0" w:color="auto"/>
          </w:tcBorders>
        </w:tcPr>
        <w:p w:rsidR="00D54F7F" w:rsidRPr="00112009" w:rsidRDefault="00D54F7F" w:rsidP="00D54F7F">
          <w:pPr>
            <w:pStyle w:val="Topptekst"/>
            <w:jc w:val="center"/>
            <w:rPr>
              <w:b/>
              <w:sz w:val="24"/>
              <w:szCs w:val="24"/>
            </w:rPr>
          </w:pPr>
        </w:p>
      </w:tc>
      <w:tc>
        <w:tcPr>
          <w:tcW w:w="2942" w:type="dxa"/>
          <w:tcBorders>
            <w:left w:val="nil"/>
          </w:tcBorders>
        </w:tcPr>
        <w:p w:rsidR="00D54F7F" w:rsidRDefault="00D54F7F" w:rsidP="00D54F7F">
          <w:pPr>
            <w:pStyle w:val="Topptekst"/>
            <w:rPr>
              <w:sz w:val="24"/>
            </w:rPr>
          </w:pPr>
          <w:r>
            <w:rPr>
              <w:sz w:val="24"/>
            </w:rPr>
            <w:t xml:space="preserve">Revidert: </w:t>
          </w:r>
        </w:p>
      </w:tc>
    </w:tr>
    <w:tr w:rsidR="00D54F7F" w:rsidTr="00D54F7F">
      <w:trPr>
        <w:cantSplit/>
      </w:trPr>
      <w:tc>
        <w:tcPr>
          <w:tcW w:w="2480" w:type="dxa"/>
          <w:tcBorders>
            <w:right w:val="nil"/>
          </w:tcBorders>
        </w:tcPr>
        <w:p w:rsidR="00D54F7F" w:rsidRPr="00112009" w:rsidRDefault="00D54F7F" w:rsidP="00D54F7F">
          <w:pPr>
            <w:pStyle w:val="Bunntekst"/>
            <w:rPr>
              <w:sz w:val="24"/>
              <w:szCs w:val="24"/>
            </w:rPr>
          </w:pPr>
        </w:p>
      </w:tc>
      <w:tc>
        <w:tcPr>
          <w:tcW w:w="4004" w:type="dxa"/>
          <w:vMerge/>
          <w:tcBorders>
            <w:top w:val="nil"/>
            <w:left w:val="single" w:sz="4" w:space="0" w:color="auto"/>
            <w:bottom w:val="single" w:sz="4" w:space="0" w:color="auto"/>
            <w:right w:val="single" w:sz="4" w:space="0" w:color="auto"/>
          </w:tcBorders>
        </w:tcPr>
        <w:p w:rsidR="00D54F7F" w:rsidRPr="00112009" w:rsidRDefault="00D54F7F" w:rsidP="00D54F7F">
          <w:pPr>
            <w:pStyle w:val="Topptekst"/>
            <w:jc w:val="center"/>
            <w:rPr>
              <w:b/>
              <w:sz w:val="24"/>
              <w:szCs w:val="24"/>
            </w:rPr>
          </w:pPr>
        </w:p>
      </w:tc>
      <w:tc>
        <w:tcPr>
          <w:tcW w:w="2942" w:type="dxa"/>
          <w:tcBorders>
            <w:left w:val="nil"/>
          </w:tcBorders>
        </w:tcPr>
        <w:p w:rsidR="00D54F7F" w:rsidRDefault="00D54F7F" w:rsidP="00D54F7F">
          <w:pPr>
            <w:pStyle w:val="Topptekst"/>
            <w:rPr>
              <w:sz w:val="24"/>
            </w:rPr>
          </w:pPr>
          <w:r>
            <w:rPr>
              <w:sz w:val="24"/>
            </w:rPr>
            <w:t>Revisjon nr: 1</w:t>
          </w:r>
        </w:p>
      </w:tc>
    </w:tr>
  </w:tbl>
  <w:p w:rsidR="00D54F7F" w:rsidRDefault="00D54F7F">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7F" w:rsidRDefault="00D54F7F">
    <w:pPr>
      <w:pStyle w:val="Top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7F" w:rsidRDefault="00D54F7F">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95DD1"/>
    <w:multiLevelType w:val="hybridMultilevel"/>
    <w:tmpl w:val="B0621B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AE457B8"/>
    <w:multiLevelType w:val="hybridMultilevel"/>
    <w:tmpl w:val="EC7C0C3A"/>
    <w:lvl w:ilvl="0" w:tplc="00228540">
      <w:start w:val="1"/>
      <w:numFmt w:val="bullet"/>
      <w:pStyle w:val="Pinne"/>
      <w:lvlText w:val=""/>
      <w:lvlJc w:val="left"/>
      <w:pPr>
        <w:tabs>
          <w:tab w:val="num" w:pos="643"/>
        </w:tabs>
        <w:ind w:left="643" w:hanging="360"/>
      </w:pPr>
      <w:rPr>
        <w:rFonts w:ascii="Symbol" w:hAnsi="Symbol" w:hint="default"/>
      </w:rPr>
    </w:lvl>
    <w:lvl w:ilvl="1" w:tplc="04140003" w:tentative="1">
      <w:start w:val="1"/>
      <w:numFmt w:val="bullet"/>
      <w:lvlText w:val="o"/>
      <w:lvlJc w:val="left"/>
      <w:pPr>
        <w:tabs>
          <w:tab w:val="num" w:pos="1723"/>
        </w:tabs>
        <w:ind w:left="1723" w:hanging="360"/>
      </w:pPr>
      <w:rPr>
        <w:rFonts w:ascii="Courier New" w:hAnsi="Courier New" w:hint="default"/>
      </w:rPr>
    </w:lvl>
    <w:lvl w:ilvl="2" w:tplc="04140005" w:tentative="1">
      <w:start w:val="1"/>
      <w:numFmt w:val="bullet"/>
      <w:lvlText w:val=""/>
      <w:lvlJc w:val="left"/>
      <w:pPr>
        <w:tabs>
          <w:tab w:val="num" w:pos="2443"/>
        </w:tabs>
        <w:ind w:left="2443" w:hanging="360"/>
      </w:pPr>
      <w:rPr>
        <w:rFonts w:ascii="Wingdings" w:hAnsi="Wingdings" w:hint="default"/>
      </w:rPr>
    </w:lvl>
    <w:lvl w:ilvl="3" w:tplc="04140001" w:tentative="1">
      <w:start w:val="1"/>
      <w:numFmt w:val="bullet"/>
      <w:lvlText w:val=""/>
      <w:lvlJc w:val="left"/>
      <w:pPr>
        <w:tabs>
          <w:tab w:val="num" w:pos="3163"/>
        </w:tabs>
        <w:ind w:left="3163" w:hanging="360"/>
      </w:pPr>
      <w:rPr>
        <w:rFonts w:ascii="Symbol" w:hAnsi="Symbol" w:hint="default"/>
      </w:rPr>
    </w:lvl>
    <w:lvl w:ilvl="4" w:tplc="04140003" w:tentative="1">
      <w:start w:val="1"/>
      <w:numFmt w:val="bullet"/>
      <w:lvlText w:val="o"/>
      <w:lvlJc w:val="left"/>
      <w:pPr>
        <w:tabs>
          <w:tab w:val="num" w:pos="3883"/>
        </w:tabs>
        <w:ind w:left="3883" w:hanging="360"/>
      </w:pPr>
      <w:rPr>
        <w:rFonts w:ascii="Courier New" w:hAnsi="Courier New" w:hint="default"/>
      </w:rPr>
    </w:lvl>
    <w:lvl w:ilvl="5" w:tplc="04140005" w:tentative="1">
      <w:start w:val="1"/>
      <w:numFmt w:val="bullet"/>
      <w:lvlText w:val=""/>
      <w:lvlJc w:val="left"/>
      <w:pPr>
        <w:tabs>
          <w:tab w:val="num" w:pos="4603"/>
        </w:tabs>
        <w:ind w:left="4603" w:hanging="360"/>
      </w:pPr>
      <w:rPr>
        <w:rFonts w:ascii="Wingdings" w:hAnsi="Wingdings" w:hint="default"/>
      </w:rPr>
    </w:lvl>
    <w:lvl w:ilvl="6" w:tplc="04140001" w:tentative="1">
      <w:start w:val="1"/>
      <w:numFmt w:val="bullet"/>
      <w:lvlText w:val=""/>
      <w:lvlJc w:val="left"/>
      <w:pPr>
        <w:tabs>
          <w:tab w:val="num" w:pos="5323"/>
        </w:tabs>
        <w:ind w:left="5323" w:hanging="360"/>
      </w:pPr>
      <w:rPr>
        <w:rFonts w:ascii="Symbol" w:hAnsi="Symbol" w:hint="default"/>
      </w:rPr>
    </w:lvl>
    <w:lvl w:ilvl="7" w:tplc="04140003" w:tentative="1">
      <w:start w:val="1"/>
      <w:numFmt w:val="bullet"/>
      <w:lvlText w:val="o"/>
      <w:lvlJc w:val="left"/>
      <w:pPr>
        <w:tabs>
          <w:tab w:val="num" w:pos="6043"/>
        </w:tabs>
        <w:ind w:left="6043" w:hanging="360"/>
      </w:pPr>
      <w:rPr>
        <w:rFonts w:ascii="Courier New" w:hAnsi="Courier New" w:hint="default"/>
      </w:rPr>
    </w:lvl>
    <w:lvl w:ilvl="8" w:tplc="04140005" w:tentative="1">
      <w:start w:val="1"/>
      <w:numFmt w:val="bullet"/>
      <w:lvlText w:val=""/>
      <w:lvlJc w:val="left"/>
      <w:pPr>
        <w:tabs>
          <w:tab w:val="num" w:pos="6763"/>
        </w:tabs>
        <w:ind w:left="6763" w:hanging="360"/>
      </w:pPr>
      <w:rPr>
        <w:rFonts w:ascii="Wingdings" w:hAnsi="Wingdings" w:hint="default"/>
      </w:rPr>
    </w:lvl>
  </w:abstractNum>
  <w:abstractNum w:abstractNumId="2">
    <w:nsid w:val="1CFC13F7"/>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3">
    <w:nsid w:val="3D911784"/>
    <w:multiLevelType w:val="multilevel"/>
    <w:tmpl w:val="A3684C4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3FD169C3"/>
    <w:multiLevelType w:val="hybridMultilevel"/>
    <w:tmpl w:val="D786B4DC"/>
    <w:lvl w:ilvl="0" w:tplc="BC442676">
      <w:start w:val="2"/>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5">
    <w:nsid w:val="53326F0F"/>
    <w:multiLevelType w:val="multilevel"/>
    <w:tmpl w:val="AAC4A870"/>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endnote w:id="-1"/>
    <w:endnote w:id="0"/>
  </w:endnotePr>
  <w:compat/>
  <w:rsids>
    <w:rsidRoot w:val="00737152"/>
    <w:rsid w:val="00031904"/>
    <w:rsid w:val="00063D13"/>
    <w:rsid w:val="00085B2B"/>
    <w:rsid w:val="000907EB"/>
    <w:rsid w:val="000A27A0"/>
    <w:rsid w:val="000B6D44"/>
    <w:rsid w:val="000C56DD"/>
    <w:rsid w:val="00100D4F"/>
    <w:rsid w:val="00111F6E"/>
    <w:rsid w:val="00112009"/>
    <w:rsid w:val="00132E6E"/>
    <w:rsid w:val="001647D0"/>
    <w:rsid w:val="00175D7D"/>
    <w:rsid w:val="00197788"/>
    <w:rsid w:val="001C045F"/>
    <w:rsid w:val="001D14C9"/>
    <w:rsid w:val="001D6806"/>
    <w:rsid w:val="001F695B"/>
    <w:rsid w:val="00205056"/>
    <w:rsid w:val="00206EAC"/>
    <w:rsid w:val="00217CFB"/>
    <w:rsid w:val="002443A8"/>
    <w:rsid w:val="00260F1D"/>
    <w:rsid w:val="002B43E5"/>
    <w:rsid w:val="002B67AE"/>
    <w:rsid w:val="002D0AED"/>
    <w:rsid w:val="002D3DB7"/>
    <w:rsid w:val="002E4B24"/>
    <w:rsid w:val="00354AB6"/>
    <w:rsid w:val="00367A23"/>
    <w:rsid w:val="00370A97"/>
    <w:rsid w:val="003B00B4"/>
    <w:rsid w:val="003B4B64"/>
    <w:rsid w:val="003E6CE3"/>
    <w:rsid w:val="003F34DF"/>
    <w:rsid w:val="00410290"/>
    <w:rsid w:val="00446EEA"/>
    <w:rsid w:val="004563EA"/>
    <w:rsid w:val="00494436"/>
    <w:rsid w:val="004B065E"/>
    <w:rsid w:val="004C05DB"/>
    <w:rsid w:val="005222C3"/>
    <w:rsid w:val="005341DE"/>
    <w:rsid w:val="0053511B"/>
    <w:rsid w:val="005473CF"/>
    <w:rsid w:val="00551278"/>
    <w:rsid w:val="00565F6A"/>
    <w:rsid w:val="005A7979"/>
    <w:rsid w:val="005D406F"/>
    <w:rsid w:val="006104C7"/>
    <w:rsid w:val="0063795B"/>
    <w:rsid w:val="00670BC4"/>
    <w:rsid w:val="00674533"/>
    <w:rsid w:val="00682329"/>
    <w:rsid w:val="00692865"/>
    <w:rsid w:val="006C3A59"/>
    <w:rsid w:val="006C3AF5"/>
    <w:rsid w:val="006F30FB"/>
    <w:rsid w:val="0070715A"/>
    <w:rsid w:val="00726890"/>
    <w:rsid w:val="00737152"/>
    <w:rsid w:val="007768DE"/>
    <w:rsid w:val="00777AFB"/>
    <w:rsid w:val="007B3122"/>
    <w:rsid w:val="007B4FD4"/>
    <w:rsid w:val="007C24A6"/>
    <w:rsid w:val="007D1B35"/>
    <w:rsid w:val="007F5EDC"/>
    <w:rsid w:val="00832A28"/>
    <w:rsid w:val="008806EE"/>
    <w:rsid w:val="00881C02"/>
    <w:rsid w:val="008A36AE"/>
    <w:rsid w:val="008A4D86"/>
    <w:rsid w:val="008D471B"/>
    <w:rsid w:val="008F6C50"/>
    <w:rsid w:val="00914DDC"/>
    <w:rsid w:val="0092383E"/>
    <w:rsid w:val="00932A42"/>
    <w:rsid w:val="00933300"/>
    <w:rsid w:val="00961F0C"/>
    <w:rsid w:val="009634D4"/>
    <w:rsid w:val="00991F9F"/>
    <w:rsid w:val="009A1384"/>
    <w:rsid w:val="009B0CD9"/>
    <w:rsid w:val="009B6E90"/>
    <w:rsid w:val="009D792B"/>
    <w:rsid w:val="00A00EF4"/>
    <w:rsid w:val="00A21ED1"/>
    <w:rsid w:val="00A318CF"/>
    <w:rsid w:val="00A63167"/>
    <w:rsid w:val="00A811B1"/>
    <w:rsid w:val="00AD7BAC"/>
    <w:rsid w:val="00AF019A"/>
    <w:rsid w:val="00B02114"/>
    <w:rsid w:val="00B65D69"/>
    <w:rsid w:val="00B9048B"/>
    <w:rsid w:val="00BA1A59"/>
    <w:rsid w:val="00BC41AC"/>
    <w:rsid w:val="00BC68FF"/>
    <w:rsid w:val="00C41829"/>
    <w:rsid w:val="00C478E3"/>
    <w:rsid w:val="00C62BDC"/>
    <w:rsid w:val="00CA5B74"/>
    <w:rsid w:val="00CB2537"/>
    <w:rsid w:val="00CD40A9"/>
    <w:rsid w:val="00D011F4"/>
    <w:rsid w:val="00D044DA"/>
    <w:rsid w:val="00D07F38"/>
    <w:rsid w:val="00D20DF8"/>
    <w:rsid w:val="00D217A0"/>
    <w:rsid w:val="00D23C72"/>
    <w:rsid w:val="00D34907"/>
    <w:rsid w:val="00D4746F"/>
    <w:rsid w:val="00D50725"/>
    <w:rsid w:val="00D52395"/>
    <w:rsid w:val="00D54F7F"/>
    <w:rsid w:val="00D8136D"/>
    <w:rsid w:val="00D87082"/>
    <w:rsid w:val="00DA5082"/>
    <w:rsid w:val="00DE45CB"/>
    <w:rsid w:val="00E06940"/>
    <w:rsid w:val="00E31EE5"/>
    <w:rsid w:val="00E645F0"/>
    <w:rsid w:val="00E64C5E"/>
    <w:rsid w:val="00EB2F28"/>
    <w:rsid w:val="00EB4017"/>
    <w:rsid w:val="00EB7A6B"/>
    <w:rsid w:val="00F04021"/>
    <w:rsid w:val="00F1561A"/>
    <w:rsid w:val="00F3392C"/>
    <w:rsid w:val="00F465BA"/>
    <w:rsid w:val="00F61908"/>
    <w:rsid w:val="00F643AD"/>
    <w:rsid w:val="00F6457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36D"/>
  </w:style>
  <w:style w:type="paragraph" w:styleId="Overskrift1">
    <w:name w:val="heading 1"/>
    <w:basedOn w:val="Normal"/>
    <w:next w:val="Normal"/>
    <w:qFormat/>
    <w:rsid w:val="00D8136D"/>
    <w:pPr>
      <w:keepNext/>
      <w:outlineLvl w:val="0"/>
    </w:pPr>
    <w:rPr>
      <w:b/>
      <w:bCs/>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D8136D"/>
    <w:pPr>
      <w:tabs>
        <w:tab w:val="center" w:pos="4536"/>
        <w:tab w:val="right" w:pos="9072"/>
      </w:tabs>
    </w:pPr>
  </w:style>
  <w:style w:type="paragraph" w:styleId="Bunntekst">
    <w:name w:val="footer"/>
    <w:basedOn w:val="Normal"/>
    <w:link w:val="BunntekstTegn"/>
    <w:rsid w:val="00D8136D"/>
    <w:pPr>
      <w:tabs>
        <w:tab w:val="center" w:pos="4536"/>
        <w:tab w:val="right" w:pos="9072"/>
      </w:tabs>
    </w:pPr>
  </w:style>
  <w:style w:type="paragraph" w:styleId="Brdtekst">
    <w:name w:val="Body Text"/>
    <w:basedOn w:val="Normal"/>
    <w:rsid w:val="006104C7"/>
    <w:pPr>
      <w:tabs>
        <w:tab w:val="left" w:pos="6840"/>
      </w:tabs>
      <w:spacing w:after="120"/>
    </w:pPr>
    <w:rPr>
      <w:rFonts w:ascii="Arial" w:hAnsi="Arial"/>
    </w:rPr>
  </w:style>
  <w:style w:type="paragraph" w:customStyle="1" w:styleId="Pinne">
    <w:name w:val="Pinne"/>
    <w:basedOn w:val="Normal"/>
    <w:autoRedefine/>
    <w:rsid w:val="006104C7"/>
    <w:pPr>
      <w:numPr>
        <w:numId w:val="2"/>
      </w:numPr>
      <w:tabs>
        <w:tab w:val="left" w:pos="6840"/>
      </w:tabs>
    </w:pPr>
    <w:rPr>
      <w:rFonts w:ascii="CG Times (WN)" w:hAnsi="CG Times (WN)"/>
      <w:i/>
    </w:rPr>
  </w:style>
  <w:style w:type="paragraph" w:styleId="Brdtekstinnrykk">
    <w:name w:val="Body Text Indent"/>
    <w:basedOn w:val="Normal"/>
    <w:link w:val="BrdtekstinnrykkTegn"/>
    <w:rsid w:val="005341DE"/>
    <w:pPr>
      <w:spacing w:after="120"/>
      <w:ind w:left="283"/>
    </w:pPr>
  </w:style>
  <w:style w:type="character" w:customStyle="1" w:styleId="BrdtekstinnrykkTegn">
    <w:name w:val="Brødtekstinnrykk Tegn"/>
    <w:basedOn w:val="Standardskriftforavsnitt"/>
    <w:link w:val="Brdtekstinnrykk"/>
    <w:rsid w:val="005341DE"/>
  </w:style>
  <w:style w:type="character" w:styleId="Hyperkobling">
    <w:name w:val="Hyperlink"/>
    <w:basedOn w:val="Standardskriftforavsnitt"/>
    <w:rsid w:val="005341DE"/>
    <w:rPr>
      <w:color w:val="0000FF"/>
      <w:u w:val="single"/>
    </w:rPr>
  </w:style>
  <w:style w:type="character" w:customStyle="1" w:styleId="TopptekstTegn">
    <w:name w:val="Topptekst Tegn"/>
    <w:basedOn w:val="Standardskriftforavsnitt"/>
    <w:link w:val="Topptekst"/>
    <w:rsid w:val="005341DE"/>
  </w:style>
  <w:style w:type="character" w:customStyle="1" w:styleId="BunntekstTegn">
    <w:name w:val="Bunntekst Tegn"/>
    <w:basedOn w:val="Standardskriftforavsnitt"/>
    <w:link w:val="Bunntekst"/>
    <w:rsid w:val="005341DE"/>
  </w:style>
  <w:style w:type="paragraph" w:styleId="Bobletekst">
    <w:name w:val="Balloon Text"/>
    <w:basedOn w:val="Normal"/>
    <w:link w:val="BobletekstTegn"/>
    <w:rsid w:val="00A21ED1"/>
    <w:rPr>
      <w:rFonts w:ascii="Tahoma" w:hAnsi="Tahoma" w:cs="Tahoma"/>
      <w:sz w:val="16"/>
      <w:szCs w:val="16"/>
    </w:rPr>
  </w:style>
  <w:style w:type="character" w:customStyle="1" w:styleId="BobletekstTegn">
    <w:name w:val="Bobletekst Tegn"/>
    <w:basedOn w:val="Standardskriftforavsnitt"/>
    <w:link w:val="Bobletekst"/>
    <w:rsid w:val="00A21E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fk.n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A1639-F0DE-42F5-B3DA-9D062933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5600</Characters>
  <Application>Microsoft Office Word</Application>
  <DocSecurity>4</DocSecurity>
  <Lines>46</Lines>
  <Paragraphs>13</Paragraphs>
  <ScaleCrop>false</ScaleCrop>
  <HeadingPairs>
    <vt:vector size="2" baseType="variant">
      <vt:variant>
        <vt:lpstr>Tittel</vt:lpstr>
      </vt:variant>
      <vt:variant>
        <vt:i4>1</vt:i4>
      </vt:variant>
    </vt:vector>
  </HeadingPairs>
  <TitlesOfParts>
    <vt:vector size="1" baseType="lpstr">
      <vt:lpstr>(SKJEMAET SKAL BENYTTES ETTER GJENNOMFØRT ØVELSE)</vt:lpstr>
    </vt:vector>
  </TitlesOfParts>
  <Company>Rennebu kommune</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(SKJEMAET SKAL BENYTTES ETTER GJENNOMFØRT ØVELSE)</dc:title>
  <dc:creator>Teknisk etat</dc:creator>
  <cp:lastModifiedBy>gkr</cp:lastModifiedBy>
  <cp:revision>2</cp:revision>
  <cp:lastPrinted>2012-02-21T08:20:00Z</cp:lastPrinted>
  <dcterms:created xsi:type="dcterms:W3CDTF">2012-06-04T11:56:00Z</dcterms:created>
  <dcterms:modified xsi:type="dcterms:W3CDTF">2012-06-04T11:56:00Z</dcterms:modified>
</cp:coreProperties>
</file>